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0A5" w:rsidRDefault="006640A5" w:rsidP="006640A5">
      <w:pPr>
        <w:pStyle w:val="NormalWeb"/>
        <w:shd w:val="clear" w:color="auto" w:fill="FFFFFF"/>
        <w:spacing w:before="0" w:beforeAutospacing="0" w:after="390" w:afterAutospacing="0" w:line="390" w:lineRule="atLeast"/>
        <w:rPr>
          <w:rFonts w:ascii="Georgia" w:hAnsi="Georgia"/>
        </w:rPr>
      </w:pPr>
      <w:bookmarkStart w:id="0" w:name="_GoBack"/>
      <w:bookmarkEnd w:id="0"/>
      <w:r>
        <w:rPr>
          <w:rFonts w:ascii="Georgia" w:hAnsi="Georgia"/>
        </w:rPr>
        <w:t xml:space="preserve">Kathryn </w:t>
      </w:r>
      <w:proofErr w:type="spellStart"/>
      <w:r>
        <w:rPr>
          <w:rFonts w:ascii="Georgia" w:hAnsi="Georgia"/>
        </w:rPr>
        <w:t>Reklis</w:t>
      </w:r>
      <w:proofErr w:type="spellEnd"/>
      <w:r>
        <w:rPr>
          <w:rFonts w:ascii="Georgia" w:hAnsi="Georgia"/>
        </w:rPr>
        <w:t>, “Give Me That Digital Religion”</w:t>
      </w:r>
    </w:p>
    <w:p w:rsidR="006640A5" w:rsidRDefault="006640A5" w:rsidP="006640A5">
      <w:pPr>
        <w:pStyle w:val="NormalWeb"/>
        <w:shd w:val="clear" w:color="auto" w:fill="FFFFFF"/>
        <w:spacing w:before="0" w:beforeAutospacing="0" w:after="390" w:afterAutospacing="0" w:line="390" w:lineRule="atLeast"/>
        <w:rPr>
          <w:rFonts w:ascii="Georgia" w:hAnsi="Georgia"/>
        </w:rPr>
      </w:pPr>
      <w:hyperlink r:id="rId4" w:history="1">
        <w:r w:rsidRPr="00E75593">
          <w:rPr>
            <w:rStyle w:val="Hyperlink"/>
            <w:rFonts w:ascii="Georgia" w:hAnsi="Georgia"/>
          </w:rPr>
          <w:t>https://tif.ssrc.org/2015/03/03/give-me-that-digital-religion/</w:t>
        </w:r>
      </w:hyperlink>
    </w:p>
    <w:p w:rsidR="006640A5" w:rsidRDefault="006640A5" w:rsidP="006640A5">
      <w:pPr>
        <w:pStyle w:val="NormalWeb"/>
        <w:shd w:val="clear" w:color="auto" w:fill="FFFFFF"/>
        <w:spacing w:before="0" w:beforeAutospacing="0" w:after="390" w:afterAutospacing="0" w:line="390" w:lineRule="atLeast"/>
        <w:rPr>
          <w:rFonts w:ascii="Georgia" w:hAnsi="Georgia"/>
        </w:rPr>
      </w:pPr>
      <w:r>
        <w:rPr>
          <w:rFonts w:ascii="Georgia" w:hAnsi="Georgia"/>
        </w:rPr>
        <w:t>Every Sunday night in Omaha, Nebraska, a small group gathers in a United Church of Christ church lobby to watch and participate in a streaming video broadcast called </w:t>
      </w:r>
      <w:proofErr w:type="spellStart"/>
      <w:r>
        <w:rPr>
          <w:rFonts w:ascii="Georgia" w:hAnsi="Georgia"/>
        </w:rPr>
        <w:fldChar w:fldCharType="begin"/>
      </w:r>
      <w:r>
        <w:rPr>
          <w:rFonts w:ascii="Georgia" w:hAnsi="Georgia"/>
        </w:rPr>
        <w:instrText xml:space="preserve"> HYPERLINK "http://darkwoodbrew.org/" \o "Darkwood Brew | Wherever you are, we'll meet you there." \t "_blank" </w:instrText>
      </w:r>
      <w:r>
        <w:rPr>
          <w:rFonts w:ascii="Georgia" w:hAnsi="Georgia"/>
        </w:rPr>
        <w:fldChar w:fldCharType="separate"/>
      </w:r>
      <w:r>
        <w:rPr>
          <w:rStyle w:val="Hyperlink"/>
          <w:rFonts w:ascii="Georgia" w:hAnsi="Georgia"/>
        </w:rPr>
        <w:t>Darkwood</w:t>
      </w:r>
      <w:proofErr w:type="spellEnd"/>
      <w:r>
        <w:rPr>
          <w:rStyle w:val="Hyperlink"/>
          <w:rFonts w:ascii="Georgia" w:hAnsi="Georgia"/>
        </w:rPr>
        <w:t xml:space="preserve"> Brew</w:t>
      </w:r>
      <w:r>
        <w:rPr>
          <w:rFonts w:ascii="Georgia" w:hAnsi="Georgia"/>
        </w:rPr>
        <w:fldChar w:fldCharType="end"/>
      </w:r>
      <w:r>
        <w:rPr>
          <w:rFonts w:ascii="Georgia" w:hAnsi="Georgia"/>
        </w:rPr>
        <w:t>. Both the project and the space—which has been transformed into a hip coffee shop—feel more of a piece with evangelical strategies to attract new members than with the trappings of Midwestern mainline Protestants. The crowd itself is relatively sparse, and much older than you might expect for such an experiment: a couple dozen people, most between 40 and 60 years of age.</w:t>
      </w:r>
    </w:p>
    <w:p w:rsidR="006640A5" w:rsidRDefault="006640A5" w:rsidP="006640A5">
      <w:pPr>
        <w:pStyle w:val="NormalWeb"/>
        <w:shd w:val="clear" w:color="auto" w:fill="FFFFFF"/>
        <w:spacing w:before="0" w:beforeAutospacing="0" w:after="390" w:afterAutospacing="0" w:line="390" w:lineRule="atLeast"/>
        <w:rPr>
          <w:rFonts w:ascii="Georgia" w:hAnsi="Georgia"/>
        </w:rPr>
      </w:pPr>
      <w:r>
        <w:rPr>
          <w:rFonts w:ascii="Georgia" w:hAnsi="Georgia"/>
        </w:rPr>
        <w:t>I visited Countryside Community Church in fall 2011 as a Research Fellow for the </w:t>
      </w:r>
      <w:hyperlink r:id="rId5" w:tgtFrame="_blank" w:tooltip="New Media Project" w:history="1">
        <w:r>
          <w:rPr>
            <w:rStyle w:val="Hyperlink"/>
            <w:rFonts w:ascii="Georgia" w:hAnsi="Georgia"/>
          </w:rPr>
          <w:t>New Media Project</w:t>
        </w:r>
      </w:hyperlink>
      <w:r>
        <w:rPr>
          <w:rFonts w:ascii="Georgia" w:hAnsi="Georgia"/>
        </w:rPr>
        <w:t xml:space="preserve"> (housed at the Christian Theological Seminary in Indianapolis). </w:t>
      </w:r>
      <w:proofErr w:type="spellStart"/>
      <w:r>
        <w:rPr>
          <w:rFonts w:ascii="Georgia" w:hAnsi="Georgia"/>
        </w:rPr>
        <w:t>Darkwood</w:t>
      </w:r>
      <w:proofErr w:type="spellEnd"/>
      <w:r>
        <w:rPr>
          <w:rFonts w:ascii="Georgia" w:hAnsi="Georgia"/>
        </w:rPr>
        <w:t xml:space="preserve"> Brew was one of six case studies chosen for the first phase of the New Media Project’s research into how Christian communities in the United States are using, and theologically interpreting, new digital technologies. On its website, </w:t>
      </w:r>
      <w:proofErr w:type="spellStart"/>
      <w:r>
        <w:rPr>
          <w:rFonts w:ascii="Georgia" w:hAnsi="Georgia"/>
        </w:rPr>
        <w:t>Darkwood</w:t>
      </w:r>
      <w:proofErr w:type="spellEnd"/>
      <w:r>
        <w:rPr>
          <w:rFonts w:ascii="Georgia" w:hAnsi="Georgia"/>
        </w:rPr>
        <w:t xml:space="preserve"> Brew is described as “a groundbreaking interactive web television program and spiritual gathering that explores progressive/emerging Christian faith and values.” There is some debate among the participants themselves about </w:t>
      </w:r>
      <w:proofErr w:type="gramStart"/>
      <w:r>
        <w:rPr>
          <w:rFonts w:ascii="Georgia" w:hAnsi="Georgia"/>
        </w:rPr>
        <w:t>whether or not</w:t>
      </w:r>
      <w:proofErr w:type="gramEnd"/>
      <w:r>
        <w:rPr>
          <w:rFonts w:ascii="Georgia" w:hAnsi="Georgia"/>
        </w:rPr>
        <w:t xml:space="preserve"> the live stream counts as a church service; despite the fact that the weekly program features bible study, discussion, music, and concludes with the Christian rite of communion, most resist the language of “church” to describe what is happening.</w:t>
      </w:r>
    </w:p>
    <w:p w:rsidR="006640A5" w:rsidRDefault="006640A5" w:rsidP="006640A5">
      <w:pPr>
        <w:pStyle w:val="NormalWeb"/>
        <w:shd w:val="clear" w:color="auto" w:fill="FFFFFF"/>
        <w:spacing w:before="0" w:beforeAutospacing="0" w:after="390" w:afterAutospacing="0" w:line="390" w:lineRule="atLeast"/>
        <w:rPr>
          <w:rFonts w:ascii="Georgia" w:hAnsi="Georgia"/>
        </w:rPr>
      </w:pPr>
      <w:r>
        <w:rPr>
          <w:rFonts w:ascii="Georgia" w:hAnsi="Georgia"/>
        </w:rPr>
        <w:t xml:space="preserve">This isn’t just nitpicking over semantics. Whether or not </w:t>
      </w:r>
      <w:proofErr w:type="spellStart"/>
      <w:r>
        <w:rPr>
          <w:rFonts w:ascii="Georgia" w:hAnsi="Georgia"/>
        </w:rPr>
        <w:t>Darkwood</w:t>
      </w:r>
      <w:proofErr w:type="spellEnd"/>
      <w:r>
        <w:rPr>
          <w:rFonts w:ascii="Georgia" w:hAnsi="Georgia"/>
        </w:rPr>
        <w:t xml:space="preserve"> Brew is “really church” gets to the heart of the community’s theology—how it understands God, the world, and the relation between them. It also highlights some of the tensions and pitfalls that come to the surface when religious communities adopt new technologies.</w:t>
      </w:r>
    </w:p>
    <w:p w:rsidR="006640A5" w:rsidRDefault="006640A5" w:rsidP="006640A5">
      <w:pPr>
        <w:pStyle w:val="NormalWeb"/>
        <w:shd w:val="clear" w:color="auto" w:fill="FFFFFF"/>
        <w:spacing w:before="0" w:beforeAutospacing="0" w:after="390" w:afterAutospacing="0" w:line="390" w:lineRule="atLeast"/>
        <w:rPr>
          <w:rFonts w:ascii="Georgia" w:hAnsi="Georgia"/>
        </w:rPr>
      </w:pPr>
      <w:r>
        <w:rPr>
          <w:rFonts w:ascii="Georgia" w:hAnsi="Georgia"/>
        </w:rPr>
        <w:t xml:space="preserve">One of the most common pitfalls—and the one I’ve seen most frequently in my work with Christian communities for the New Media Project—is assuming that digital technologies are “merely” tools to be used for good or ill, depending on the intentions of the users. On this model, </w:t>
      </w:r>
      <w:proofErr w:type="gramStart"/>
      <w:r>
        <w:rPr>
          <w:rFonts w:ascii="Georgia" w:hAnsi="Georgia"/>
        </w:rPr>
        <w:t>whether or not</w:t>
      </w:r>
      <w:proofErr w:type="gramEnd"/>
      <w:r>
        <w:rPr>
          <w:rFonts w:ascii="Georgia" w:hAnsi="Georgia"/>
        </w:rPr>
        <w:t xml:space="preserve"> a pastor gets on Facebook, for example, is </w:t>
      </w:r>
      <w:r>
        <w:rPr>
          <w:rFonts w:ascii="Georgia" w:hAnsi="Georgia"/>
        </w:rPr>
        <w:lastRenderedPageBreak/>
        <w:t xml:space="preserve">considered a question of time management or effective reach—Facebook is seen as merely another platform, akin to a church newsletter or email list, from which to reach the congregation with the authorized message. </w:t>
      </w:r>
      <w:proofErr w:type="gramStart"/>
      <w:r>
        <w:rPr>
          <w:rFonts w:ascii="Georgia" w:hAnsi="Georgia"/>
        </w:rPr>
        <w:t>In reality, Facebook</w:t>
      </w:r>
      <w:proofErr w:type="gramEnd"/>
      <w:r>
        <w:rPr>
          <w:rFonts w:ascii="Georgia" w:hAnsi="Georgia"/>
        </w:rPr>
        <w:t xml:space="preserve"> often changes the congregation’s perception of pastoral authority, opening much more profound questions about the meaning and practice of ordination, lay participation in theological interpretation, and the dissolution of the private/public personas of clergy.</w:t>
      </w:r>
    </w:p>
    <w:p w:rsidR="006640A5" w:rsidRDefault="006640A5" w:rsidP="006640A5">
      <w:pPr>
        <w:pStyle w:val="NormalWeb"/>
        <w:shd w:val="clear" w:color="auto" w:fill="FFFFFF"/>
        <w:spacing w:before="0" w:beforeAutospacing="0" w:after="390" w:afterAutospacing="0" w:line="390" w:lineRule="atLeast"/>
        <w:rPr>
          <w:rFonts w:ascii="Georgia" w:hAnsi="Georgia"/>
        </w:rPr>
      </w:pPr>
      <w:r>
        <w:rPr>
          <w:rFonts w:ascii="Georgia" w:hAnsi="Georgia"/>
        </w:rPr>
        <w:t xml:space="preserve">Likewise, a community’s theological practices will influence the way they approach digital culture. Take, for example, the practice of concluding each </w:t>
      </w:r>
      <w:proofErr w:type="spellStart"/>
      <w:r>
        <w:rPr>
          <w:rFonts w:ascii="Georgia" w:hAnsi="Georgia"/>
        </w:rPr>
        <w:t>Darkwood</w:t>
      </w:r>
      <w:proofErr w:type="spellEnd"/>
      <w:r>
        <w:rPr>
          <w:rFonts w:ascii="Georgia" w:hAnsi="Georgia"/>
        </w:rPr>
        <w:t xml:space="preserve"> Brew program with the rite of communion. Anyone physically present in the recording space shares bread and wine. Anyone watching via live stream or re-broadcast is encouraged to grab whatever elements are at hand and join in (bread and wine, certainly, or Oreos and milk as one live streamer confessed). The pastor prays over the act, authorizing it in some way even for those not physically present, and </w:t>
      </w:r>
      <w:proofErr w:type="gramStart"/>
      <w:r>
        <w:rPr>
          <w:rFonts w:ascii="Georgia" w:hAnsi="Georgia"/>
        </w:rPr>
        <w:t>it is clear that Countryside</w:t>
      </w:r>
      <w:proofErr w:type="gramEnd"/>
      <w:r>
        <w:rPr>
          <w:rFonts w:ascii="Georgia" w:hAnsi="Georgia"/>
        </w:rPr>
        <w:t xml:space="preserve"> Community Church considers this “real communion.” But to call it such assumes many deep theological premises: the physical elements (of bread, wine, Oreo, or milk) are not significant in and of themselves; the intentions of the receiver matter more than those of the pastor, etc. Many of these assumptions would be rejected by other Christian denominations that place more emphasis on the physical substance of sacramental rites or on the physical presence of the clergy in authorizing those rites.</w:t>
      </w:r>
    </w:p>
    <w:p w:rsidR="006640A5" w:rsidRDefault="006640A5" w:rsidP="006640A5">
      <w:pPr>
        <w:pStyle w:val="NormalWeb"/>
        <w:shd w:val="clear" w:color="auto" w:fill="FFFFFF"/>
        <w:spacing w:before="0" w:beforeAutospacing="0" w:after="390" w:afterAutospacing="0" w:line="390" w:lineRule="atLeast"/>
        <w:rPr>
          <w:rFonts w:ascii="Georgia" w:hAnsi="Georgia"/>
        </w:rPr>
      </w:pPr>
      <w:r>
        <w:rPr>
          <w:rFonts w:ascii="Georgia" w:hAnsi="Georgia"/>
        </w:rPr>
        <w:t xml:space="preserve">The communion might be real, but most members of Countryside did not consider </w:t>
      </w:r>
      <w:proofErr w:type="spellStart"/>
      <w:r>
        <w:rPr>
          <w:rFonts w:ascii="Georgia" w:hAnsi="Georgia"/>
        </w:rPr>
        <w:t>Darkwood</w:t>
      </w:r>
      <w:proofErr w:type="spellEnd"/>
      <w:r>
        <w:rPr>
          <w:rFonts w:ascii="Georgia" w:hAnsi="Georgia"/>
        </w:rPr>
        <w:t xml:space="preserve"> Brew “real church” or a “real congregation” because, as one long-term member and program leader told me, “church are the people I see on Sunday morning who will make you casseroles when you are sick or watch out for your kids.” This response about the nature of church as physical presence and the meaning and limits of community opens a whole other can of theological worms.</w:t>
      </w:r>
    </w:p>
    <w:p w:rsidR="006640A5" w:rsidRDefault="006640A5" w:rsidP="006640A5">
      <w:pPr>
        <w:pStyle w:val="NormalWeb"/>
        <w:shd w:val="clear" w:color="auto" w:fill="FFFFFF"/>
        <w:spacing w:before="0" w:beforeAutospacing="0" w:after="390" w:afterAutospacing="0" w:line="390" w:lineRule="atLeast"/>
        <w:rPr>
          <w:rFonts w:ascii="Georgia" w:hAnsi="Georgia"/>
        </w:rPr>
      </w:pPr>
      <w:r>
        <w:rPr>
          <w:rFonts w:ascii="Georgia" w:hAnsi="Georgia"/>
        </w:rPr>
        <w:t>Of course, the tricky thing about new media technologies is precisely the lack of centralized control over the “meaning” of the practices they generate. Viewers joining the online program might very well think of their own participation as “church” regardless of what Countryside intends. This is where understanding the digital practices of religious communities gets interesting.</w:t>
      </w:r>
    </w:p>
    <w:p w:rsidR="006640A5" w:rsidRDefault="006640A5" w:rsidP="006640A5">
      <w:pPr>
        <w:pStyle w:val="NormalWeb"/>
        <w:shd w:val="clear" w:color="auto" w:fill="FFFFFF"/>
        <w:spacing w:before="0" w:beforeAutospacing="0" w:after="390" w:afterAutospacing="0" w:line="390" w:lineRule="atLeast"/>
        <w:rPr>
          <w:rFonts w:ascii="Georgia" w:hAnsi="Georgia"/>
        </w:rPr>
      </w:pPr>
      <w:r>
        <w:rPr>
          <w:rFonts w:ascii="Georgia" w:hAnsi="Georgia"/>
        </w:rPr>
        <w:lastRenderedPageBreak/>
        <w:t>Theological and technological assumptions, often unexamined, get smuggled into practices that take on lives of their own. Of course, digital and religious practices do not require the “right interpretation” to be valid or significant. Still, it is worth unpacking assumptions about what religion is and how it works, and about what digital technologies are and how they work, as we navigate this new terrain. It is worth unpacking these assumption, if for no other reason than that it turns out that people who study religion academically, or journalistically, often smuggle in their own unexamined assumptions about the intersection of “religion” and “digital culture.”</w:t>
      </w:r>
    </w:p>
    <w:p w:rsidR="006640A5" w:rsidRDefault="006640A5" w:rsidP="006640A5">
      <w:pPr>
        <w:pStyle w:val="NormalWeb"/>
        <w:shd w:val="clear" w:color="auto" w:fill="FFFFFF"/>
        <w:spacing w:before="0" w:beforeAutospacing="0" w:after="390" w:afterAutospacing="0" w:line="390" w:lineRule="atLeast"/>
        <w:rPr>
          <w:rFonts w:ascii="Georgia" w:hAnsi="Georgia"/>
        </w:rPr>
      </w:pPr>
      <w:r>
        <w:rPr>
          <w:rFonts w:ascii="Georgia" w:hAnsi="Georgia"/>
        </w:rPr>
        <w:t>We can see this at work in some of the most commonly interrogated themes in the academic study of religion: authority, authenticity, agency, and presence. Scholars of religion have debated for decades what each of these terms means and what light they shed on the domain of human thought and practice that is typically classified as “religion.” Indeed, interrogating these terms can often help to highlight just how arbitrary the very classification “religion” is. At the intersection of face-to-face and digitally mediated practices and spaces, each of these terms are re-negotiated, transformed, or reinforced, sometimes surprisingly and sometimes predictably, but always in a way that helps us see the assumptions we bring to the table.</w:t>
      </w:r>
    </w:p>
    <w:p w:rsidR="006640A5" w:rsidRDefault="006640A5" w:rsidP="006640A5">
      <w:pPr>
        <w:pStyle w:val="NormalWeb"/>
        <w:shd w:val="clear" w:color="auto" w:fill="FFFFFF"/>
        <w:spacing w:before="0" w:beforeAutospacing="0" w:after="390" w:afterAutospacing="0" w:line="390" w:lineRule="atLeast"/>
        <w:rPr>
          <w:rFonts w:ascii="Georgia" w:hAnsi="Georgia"/>
        </w:rPr>
      </w:pPr>
      <w:r>
        <w:rPr>
          <w:rFonts w:ascii="Georgia" w:hAnsi="Georgia"/>
        </w:rPr>
        <w:t>Take, for example, the case of religious authority in a digital age. There is a common assumption that digital technology will undermine traditional ways religious authority is accrued, maintained, and perpetuated. Why believe your pastor when you can read a hundred opinions—or write your own! The Pope’s tweets may generate media buzz but ultimately weaken his singular authority as his voice becomes just one more buried in my crowded feed.</w:t>
      </w:r>
    </w:p>
    <w:p w:rsidR="006640A5" w:rsidRDefault="006640A5" w:rsidP="006640A5">
      <w:pPr>
        <w:pStyle w:val="NormalWeb"/>
        <w:shd w:val="clear" w:color="auto" w:fill="FFFFFF"/>
        <w:spacing w:before="0" w:beforeAutospacing="0" w:after="390" w:afterAutospacing="0" w:line="390" w:lineRule="atLeast"/>
        <w:rPr>
          <w:rFonts w:ascii="Georgia" w:hAnsi="Georgia"/>
        </w:rPr>
      </w:pPr>
      <w:r>
        <w:rPr>
          <w:rFonts w:ascii="Georgia" w:hAnsi="Georgia"/>
        </w:rPr>
        <w:t>In practice, however, the intersection of digital technology with religious practice might work to reinforce, rather than undermine, religious authority in new ways. </w:t>
      </w:r>
      <w:hyperlink r:id="rId6" w:history="1">
        <w:r>
          <w:rPr>
            <w:rStyle w:val="Hyperlink"/>
            <w:rFonts w:ascii="Georgia" w:hAnsi="Georgia"/>
          </w:rPr>
          <w:t>In another case study</w:t>
        </w:r>
      </w:hyperlink>
      <w:r>
        <w:rPr>
          <w:rFonts w:ascii="Georgia" w:hAnsi="Georgia"/>
        </w:rPr>
        <w:t xml:space="preserve"> from the New Media Project, a small Lutheran church in Denver comprised of self-professed “tech junkies” uses new media to negotiate all aspects of community life, from scheduling hymn sings on MeetUp.com to using Google docs as a digital prayer chain. The use of new media is an explicit strategy to transfer spiritual authority from the pastor to her newly empowered laity. At the same time, however, these </w:t>
      </w:r>
      <w:r>
        <w:rPr>
          <w:rFonts w:ascii="Georgia" w:hAnsi="Georgia"/>
        </w:rPr>
        <w:lastRenderedPageBreak/>
        <w:t>dispersed practices reinforce the pastor’s singularity during face-to-face sacramental ritual, which is especially emphasized in the congregation.</w:t>
      </w:r>
    </w:p>
    <w:p w:rsidR="006640A5" w:rsidRDefault="006640A5" w:rsidP="006640A5">
      <w:pPr>
        <w:pStyle w:val="NormalWeb"/>
        <w:shd w:val="clear" w:color="auto" w:fill="FFFFFF"/>
        <w:spacing w:before="0" w:beforeAutospacing="0" w:after="390" w:afterAutospacing="0" w:line="390" w:lineRule="atLeast"/>
        <w:rPr>
          <w:rFonts w:ascii="Georgia" w:hAnsi="Georgia"/>
        </w:rPr>
      </w:pPr>
      <w:r>
        <w:rPr>
          <w:rFonts w:ascii="Georgia" w:hAnsi="Georgia"/>
        </w:rPr>
        <w:t>In the early Internet age, which was predominately text based (e.g. chat rooms and message boards), the great promise was a bodiless flow of information from one digital subject to the next. In this context, it made sense to worry about how our understandings of ritual authenticity, agency, and sacred space would be transformed by these disembodied domains. In the great flow of information, would physical ritual matter at all? Think, however, of augmented reality software and wearable network devices: virtual technologies that are quickly developing the ability to tap into the full human sensorium and further diminish the thin membrane between embodied and virtual experience. With the right device could I come to “feel” the water in a baptismal ritual even if I were 200 miles away?</w:t>
      </w:r>
    </w:p>
    <w:p w:rsidR="006640A5" w:rsidRDefault="006640A5" w:rsidP="006640A5">
      <w:pPr>
        <w:pStyle w:val="NormalWeb"/>
        <w:shd w:val="clear" w:color="auto" w:fill="FFFFFF"/>
        <w:spacing w:before="0" w:beforeAutospacing="0" w:after="390" w:afterAutospacing="0" w:line="390" w:lineRule="atLeast"/>
        <w:rPr>
          <w:rFonts w:ascii="Georgia" w:hAnsi="Georgia"/>
        </w:rPr>
      </w:pPr>
      <w:r>
        <w:rPr>
          <w:rFonts w:ascii="Georgia" w:hAnsi="Georgia"/>
        </w:rPr>
        <w:t>How do we parse agency or the quest for authenticity with the rise of user-generated online content? On the one hand, we are all “</w:t>
      </w:r>
      <w:proofErr w:type="spellStart"/>
      <w:r>
        <w:rPr>
          <w:rFonts w:ascii="Georgia" w:hAnsi="Georgia"/>
        </w:rPr>
        <w:t>produsers</w:t>
      </w:r>
      <w:proofErr w:type="spellEnd"/>
      <w:r>
        <w:rPr>
          <w:rFonts w:ascii="Georgia" w:hAnsi="Georgia"/>
        </w:rPr>
        <w:t xml:space="preserve">” now—able to manufacture our own content for worldwide consumption. Doesn’t this imply that personal agency is predominating over communal identity? Or that my true self is created in the conglomeration of digital practices I manage? On the other hand, you can post (almost) anything you want on YouTube, but you cannot create YouTube’s infrastructure without considerable technical skill. As phone apps strive to be “intuitive” and “frictionless” (the big buzz words of </w:t>
      </w:r>
      <w:proofErr w:type="gramStart"/>
      <w:r>
        <w:rPr>
          <w:rFonts w:ascii="Georgia" w:hAnsi="Georgia"/>
        </w:rPr>
        <w:t>Silicon valley</w:t>
      </w:r>
      <w:proofErr w:type="gramEnd"/>
      <w:r>
        <w:rPr>
          <w:rFonts w:ascii="Georgia" w:hAnsi="Georgia"/>
        </w:rPr>
        <w:t xml:space="preserve">), they also encourage homogeneity of content and style. In the early wars for social network dominance, for example, </w:t>
      </w:r>
      <w:proofErr w:type="spellStart"/>
      <w:r>
        <w:rPr>
          <w:rFonts w:ascii="Georgia" w:hAnsi="Georgia"/>
        </w:rPr>
        <w:t>MySpace</w:t>
      </w:r>
      <w:proofErr w:type="spellEnd"/>
      <w:r>
        <w:rPr>
          <w:rFonts w:ascii="Georgia" w:hAnsi="Georgia"/>
        </w:rPr>
        <w:t>, which allowed for extensive user control over visual presentation, lost to Facebook, which allows for none.</w:t>
      </w:r>
    </w:p>
    <w:p w:rsidR="006640A5" w:rsidRDefault="006640A5" w:rsidP="006640A5">
      <w:pPr>
        <w:pStyle w:val="NormalWeb"/>
        <w:shd w:val="clear" w:color="auto" w:fill="FFFFFF"/>
        <w:spacing w:before="0" w:beforeAutospacing="0" w:after="390" w:afterAutospacing="0" w:line="390" w:lineRule="atLeast"/>
        <w:rPr>
          <w:rFonts w:ascii="Georgia" w:hAnsi="Georgia"/>
        </w:rPr>
      </w:pPr>
      <w:r>
        <w:rPr>
          <w:rFonts w:ascii="Georgia" w:hAnsi="Georgia"/>
        </w:rPr>
        <w:t>Digital practices are, undoubtedly, altering domains of human life that are assumed to matter most for the practice of religion: how authority is created and maintained; the validity or possibility of authentic experience; the importance (or lack thereof) of physical presence for ritual. But what these practices “mean” or how they will show up in our own study is harder to predict without falling into eschatological hopes about the unlimited potential of digital technology or apocalyptic fears about the way the digital will unmoor all that is holy.</w:t>
      </w:r>
    </w:p>
    <w:p w:rsidR="006640A5" w:rsidRDefault="006640A5" w:rsidP="006640A5">
      <w:pPr>
        <w:pStyle w:val="NormalWeb"/>
        <w:shd w:val="clear" w:color="auto" w:fill="FFFFFF"/>
        <w:spacing w:before="0" w:beforeAutospacing="0" w:after="390" w:afterAutospacing="0" w:line="390" w:lineRule="atLeast"/>
        <w:rPr>
          <w:rFonts w:ascii="Georgia" w:hAnsi="Georgia"/>
        </w:rPr>
      </w:pPr>
      <w:r>
        <w:rPr>
          <w:rFonts w:ascii="Georgia" w:hAnsi="Georgia"/>
        </w:rPr>
        <w:lastRenderedPageBreak/>
        <w:t>We need more scholars devoted to mapping this pervasively networked, digitally mediated landscape and the variety of religious practices it holds. We also need more interpretative and theoretical frames to make sense of these practices, not least of all because “digital religion” is not just the purview of a few new media scholars, but is, as I’ve suggested above, a frame for broader questions we might want to ask as a discipline. Engaging these questions is also germane because it is not just religious subjects that move fluidly between digitally mediated and face-to-face interactions. As scholars (and as human beings) we also navigate digital culture. Our next step forward may be more devoted attention to the possibilities of embracing and interrogating our own presence there.</w:t>
      </w:r>
    </w:p>
    <w:p w:rsidR="006640A5" w:rsidRDefault="006640A5" w:rsidP="006640A5">
      <w:pPr>
        <w:pStyle w:val="Heading4"/>
        <w:shd w:val="clear" w:color="auto" w:fill="FFFFFF"/>
        <w:spacing w:before="150" w:after="150"/>
        <w:rPr>
          <w:rFonts w:ascii="Arial" w:hAnsi="Arial" w:cs="Arial"/>
          <w:color w:val="81181F"/>
          <w:sz w:val="27"/>
          <w:szCs w:val="27"/>
        </w:rPr>
      </w:pPr>
      <w:hyperlink r:id="rId7" w:tooltip="Posts by Kathryn Reklis" w:history="1">
        <w:r>
          <w:rPr>
            <w:rStyle w:val="Hyperlink"/>
            <w:rFonts w:ascii="Arial" w:hAnsi="Arial" w:cs="Arial"/>
            <w:b/>
            <w:bCs/>
            <w:color w:val="81181F"/>
            <w:sz w:val="27"/>
            <w:szCs w:val="27"/>
          </w:rPr>
          <w:t xml:space="preserve">Kathryn </w:t>
        </w:r>
        <w:proofErr w:type="spellStart"/>
        <w:r>
          <w:rPr>
            <w:rStyle w:val="Hyperlink"/>
            <w:rFonts w:ascii="Arial" w:hAnsi="Arial" w:cs="Arial"/>
            <w:b/>
            <w:bCs/>
            <w:color w:val="81181F"/>
            <w:sz w:val="27"/>
            <w:szCs w:val="27"/>
          </w:rPr>
          <w:t>Reklis</w:t>
        </w:r>
        <w:proofErr w:type="spellEnd"/>
      </w:hyperlink>
    </w:p>
    <w:p w:rsidR="006640A5" w:rsidRDefault="006640A5" w:rsidP="006640A5">
      <w:pPr>
        <w:pStyle w:val="authorbox-bio"/>
        <w:shd w:val="clear" w:color="auto" w:fill="FFFFFF"/>
        <w:spacing w:before="0" w:beforeAutospacing="0" w:after="150" w:afterAutospacing="0"/>
        <w:rPr>
          <w:rFonts w:ascii="Arial" w:hAnsi="Arial" w:cs="Arial"/>
          <w:color w:val="888888"/>
          <w:sz w:val="23"/>
          <w:szCs w:val="23"/>
        </w:rPr>
      </w:pPr>
      <w:hyperlink r:id="rId8" w:history="1">
        <w:r>
          <w:rPr>
            <w:rStyle w:val="Hyperlink"/>
            <w:rFonts w:ascii="Arial" w:hAnsi="Arial" w:cs="Arial"/>
            <w:b/>
            <w:bCs/>
            <w:color w:val="337AB7"/>
            <w:sz w:val="23"/>
            <w:szCs w:val="23"/>
          </w:rPr>
          <w:t xml:space="preserve">Kathryn </w:t>
        </w:r>
        <w:proofErr w:type="spellStart"/>
        <w:r>
          <w:rPr>
            <w:rStyle w:val="Hyperlink"/>
            <w:rFonts w:ascii="Arial" w:hAnsi="Arial" w:cs="Arial"/>
            <w:b/>
            <w:bCs/>
            <w:color w:val="337AB7"/>
            <w:sz w:val="23"/>
            <w:szCs w:val="23"/>
          </w:rPr>
          <w:t>Reklis</w:t>
        </w:r>
        <w:proofErr w:type="spellEnd"/>
      </w:hyperlink>
      <w:r>
        <w:rPr>
          <w:rFonts w:ascii="Arial" w:hAnsi="Arial" w:cs="Arial"/>
          <w:color w:val="888888"/>
          <w:sz w:val="23"/>
          <w:szCs w:val="23"/>
        </w:rPr>
        <w:t> is Assistant Professor of Modern Protestant Theology at Fordham University</w:t>
      </w:r>
    </w:p>
    <w:p w:rsidR="006640A5" w:rsidRDefault="006640A5" w:rsidP="006640A5">
      <w:pPr>
        <w:pStyle w:val="Heading2"/>
        <w:spacing w:before="0" w:beforeAutospacing="0" w:after="0" w:afterAutospacing="0" w:line="264" w:lineRule="atLeast"/>
        <w:textAlignment w:val="baseline"/>
        <w:rPr>
          <w:rFonts w:ascii="inherit" w:hAnsi="inherit"/>
        </w:rPr>
      </w:pPr>
    </w:p>
    <w:p w:rsidR="006640A5" w:rsidRDefault="006640A5" w:rsidP="006640A5">
      <w:pPr>
        <w:pStyle w:val="Heading2"/>
        <w:spacing w:before="0" w:beforeAutospacing="0" w:after="0" w:afterAutospacing="0" w:line="264" w:lineRule="atLeast"/>
        <w:textAlignment w:val="baseline"/>
        <w:rPr>
          <w:rFonts w:ascii="inherit" w:hAnsi="inherit"/>
        </w:rPr>
      </w:pPr>
      <w:hyperlink r:id="rId9" w:history="1">
        <w:r>
          <w:rPr>
            <w:rStyle w:val="Hyperlink"/>
            <w:rFonts w:ascii="Arial" w:hAnsi="Arial" w:cs="Arial"/>
            <w:color w:val="DE6F0D"/>
            <w:bdr w:val="none" w:sz="0" w:space="0" w:color="auto" w:frame="1"/>
          </w:rPr>
          <w:t>TV Prayer</w:t>
        </w:r>
      </w:hyperlink>
    </w:p>
    <w:p w:rsidR="006640A5" w:rsidRDefault="006640A5" w:rsidP="006640A5">
      <w:pPr>
        <w:pStyle w:val="byline"/>
        <w:spacing w:before="0" w:beforeAutospacing="0" w:after="0" w:afterAutospacing="0"/>
        <w:textAlignment w:val="baseline"/>
        <w:rPr>
          <w:rFonts w:ascii="Arial" w:hAnsi="Arial" w:cs="Arial"/>
          <w:color w:val="969581"/>
          <w:sz w:val="20"/>
          <w:szCs w:val="20"/>
        </w:rPr>
      </w:pPr>
      <w:r>
        <w:rPr>
          <w:rFonts w:ascii="Arial" w:hAnsi="Arial" w:cs="Arial"/>
          <w:color w:val="969581"/>
          <w:sz w:val="20"/>
          <w:szCs w:val="20"/>
        </w:rPr>
        <w:t>posted by </w:t>
      </w:r>
      <w:hyperlink r:id="rId10" w:tooltip="Posts by Anderson Blanton" w:history="1">
        <w:r>
          <w:rPr>
            <w:rStyle w:val="Hyperlink"/>
            <w:rFonts w:ascii="Arial" w:hAnsi="Arial" w:cs="Arial"/>
            <w:color w:val="45847D"/>
            <w:sz w:val="20"/>
            <w:szCs w:val="20"/>
            <w:bdr w:val="none" w:sz="0" w:space="0" w:color="auto" w:frame="1"/>
          </w:rPr>
          <w:t>Anderson Blanton</w:t>
        </w:r>
      </w:hyperlink>
      <w:r>
        <w:rPr>
          <w:rFonts w:ascii="Arial" w:hAnsi="Arial" w:cs="Arial"/>
          <w:color w:val="969581"/>
          <w:sz w:val="20"/>
          <w:szCs w:val="20"/>
        </w:rPr>
        <w:t xml:space="preserve"> on April 10, 2013</w:t>
      </w:r>
    </w:p>
    <w:p w:rsidR="006640A5" w:rsidRDefault="006640A5" w:rsidP="006640A5">
      <w:pPr>
        <w:pStyle w:val="NormalWeb"/>
        <w:spacing w:before="0" w:beforeAutospacing="0" w:after="0" w:afterAutospacing="0"/>
        <w:textAlignment w:val="baseline"/>
        <w:rPr>
          <w:rStyle w:val="Emphasis"/>
          <w:rFonts w:ascii="inherit" w:hAnsi="inherit"/>
          <w:sz w:val="20"/>
          <w:szCs w:val="20"/>
          <w:bdr w:val="none" w:sz="0" w:space="0" w:color="auto" w:frame="1"/>
        </w:rPr>
      </w:pPr>
    </w:p>
    <w:p w:rsidR="006640A5" w:rsidRDefault="006640A5" w:rsidP="006640A5">
      <w:pPr>
        <w:pStyle w:val="NormalWeb"/>
        <w:spacing w:before="0" w:beforeAutospacing="0" w:after="0" w:afterAutospacing="0"/>
        <w:textAlignment w:val="baseline"/>
        <w:rPr>
          <w:rFonts w:ascii="inherit" w:hAnsi="inherit"/>
          <w:sz w:val="20"/>
          <w:szCs w:val="20"/>
        </w:rPr>
      </w:pPr>
      <w:r>
        <w:rPr>
          <w:rStyle w:val="Emphasis"/>
          <w:rFonts w:ascii="inherit" w:hAnsi="inherit"/>
          <w:sz w:val="20"/>
          <w:szCs w:val="20"/>
          <w:bdr w:val="none" w:sz="0" w:space="0" w:color="auto" w:frame="1"/>
        </w:rPr>
        <w:t>[Editor’s Note: This essay resides within Anderson Blanton’s “</w:t>
      </w:r>
      <w:hyperlink r:id="rId11" w:tooltip="The Materiality Of Prayer" w:history="1">
        <w:r>
          <w:rPr>
            <w:rStyle w:val="Hyperlink"/>
            <w:rFonts w:ascii="inherit" w:hAnsi="inherit"/>
            <w:i/>
            <w:iCs/>
            <w:color w:val="45847D"/>
            <w:sz w:val="20"/>
            <w:szCs w:val="20"/>
            <w:bdr w:val="none" w:sz="0" w:space="0" w:color="auto" w:frame="1"/>
          </w:rPr>
          <w:t>The Materiality of Prayer</w:t>
        </w:r>
      </w:hyperlink>
      <w:r>
        <w:rPr>
          <w:rStyle w:val="Emphasis"/>
          <w:rFonts w:ascii="inherit" w:hAnsi="inherit"/>
          <w:sz w:val="20"/>
          <w:szCs w:val="20"/>
          <w:bdr w:val="none" w:sz="0" w:space="0" w:color="auto" w:frame="1"/>
        </w:rPr>
        <w:t>,” a portal into Reverberations’ unfolding compendium of resources related to the study of prayer.]</w:t>
      </w:r>
    </w:p>
    <w:p w:rsidR="006640A5" w:rsidRDefault="006640A5" w:rsidP="006640A5">
      <w:pPr>
        <w:pStyle w:val="NormalWeb"/>
        <w:spacing w:before="0" w:beforeAutospacing="0" w:after="269" w:afterAutospacing="0"/>
        <w:textAlignment w:val="baseline"/>
        <w:rPr>
          <w:rFonts w:ascii="inherit" w:hAnsi="inherit"/>
          <w:sz w:val="20"/>
          <w:szCs w:val="20"/>
        </w:rPr>
      </w:pPr>
    </w:p>
    <w:p w:rsidR="006640A5" w:rsidRDefault="006640A5" w:rsidP="006640A5">
      <w:pPr>
        <w:pStyle w:val="NormalWeb"/>
        <w:spacing w:before="0" w:beforeAutospacing="0" w:after="269" w:afterAutospacing="0"/>
        <w:textAlignment w:val="baseline"/>
        <w:rPr>
          <w:rFonts w:ascii="inherit" w:hAnsi="inherit"/>
          <w:sz w:val="20"/>
          <w:szCs w:val="20"/>
        </w:rPr>
      </w:pPr>
      <w:r>
        <w:rPr>
          <w:rFonts w:ascii="inherit" w:hAnsi="inherit"/>
          <w:sz w:val="20"/>
          <w:szCs w:val="20"/>
        </w:rPr>
        <w:t>A pivotal moment in the technological history of prayer occurred when Oral Roberts introduced the motion picture camera into the charismatic atmosphere of his massive “tent cathedral.” Through the medium of television, millions of Americans experienced performances of Pentecostal healing prayer for the first time. More than this, however, the motion picture film significantly altered the enthusiastic environment of the healing tent while organizing new sensorial and performative possibilities within the practice of prayer itself. From the first telecast in 1955, it is as if the mechanical eye of the camera gradually insinuated itself into the actions of the prayer line, drawing ever-closer to the intimate tactile contact between the patient and the healer. Through the zooming capacities of the cinematic eye, members of the television audience got an intimate view of the performance of healing prayer, including the vigorous gesticulations, bodily contact, and ecstatic countenances enlivened through this curative technique.</w:t>
      </w:r>
    </w:p>
    <w:p w:rsidR="006640A5" w:rsidRDefault="006640A5" w:rsidP="006640A5">
      <w:pPr>
        <w:pStyle w:val="NormalWeb"/>
        <w:spacing w:before="0" w:beforeAutospacing="0" w:after="269" w:afterAutospacing="0"/>
        <w:textAlignment w:val="baseline"/>
        <w:rPr>
          <w:rFonts w:ascii="inherit" w:hAnsi="inherit"/>
          <w:sz w:val="20"/>
          <w:szCs w:val="20"/>
        </w:rPr>
      </w:pPr>
      <w:r>
        <w:rPr>
          <w:rFonts w:ascii="inherit" w:hAnsi="inherit"/>
          <w:sz w:val="20"/>
          <w:szCs w:val="20"/>
        </w:rPr>
        <w:t xml:space="preserve">Ironically, the rapid mechanical clicks of the new “fast film” cameras instituted a slow-down in the prayer line. </w:t>
      </w:r>
      <w:proofErr w:type="gramStart"/>
      <w:r>
        <w:rPr>
          <w:rFonts w:ascii="inherit" w:hAnsi="inherit"/>
          <w:sz w:val="20"/>
          <w:szCs w:val="20"/>
        </w:rPr>
        <w:t>In order to</w:t>
      </w:r>
      <w:proofErr w:type="gramEnd"/>
      <w:r>
        <w:rPr>
          <w:rFonts w:ascii="inherit" w:hAnsi="inherit"/>
          <w:sz w:val="20"/>
          <w:szCs w:val="20"/>
        </w:rPr>
        <w:t xml:space="preserve"> produce a compelling sensation of belief among the television audience, Roberts began taking more time to chat with each patient as they filed through the healing line. After several years of telecasts, Roberts began instructing especially compelling patients who were healed during prayer to look directly into the camera and deliver their testimony. The presence of the camera not only influenced the organization and movement of the prayer </w:t>
      </w:r>
      <w:proofErr w:type="gramStart"/>
      <w:r>
        <w:rPr>
          <w:rFonts w:ascii="inherit" w:hAnsi="inherit"/>
          <w:sz w:val="20"/>
          <w:szCs w:val="20"/>
        </w:rPr>
        <w:t>line, but</w:t>
      </w:r>
      <w:proofErr w:type="gramEnd"/>
      <w:r>
        <w:rPr>
          <w:rFonts w:ascii="inherit" w:hAnsi="inherit"/>
          <w:sz w:val="20"/>
          <w:szCs w:val="20"/>
        </w:rPr>
        <w:t xml:space="preserve"> necessitated the performance of a healing prayer explicitly directed toward the television audience. Oral Roberts termed this new technique of televisual healing the “TV prayer.”</w:t>
      </w:r>
    </w:p>
    <w:p w:rsidR="006640A5" w:rsidRDefault="006640A5" w:rsidP="006640A5">
      <w:pPr>
        <w:pStyle w:val="NormalWeb"/>
        <w:spacing w:before="0" w:beforeAutospacing="0" w:after="269" w:afterAutospacing="0"/>
        <w:textAlignment w:val="baseline"/>
        <w:rPr>
          <w:rFonts w:ascii="inherit" w:hAnsi="inherit"/>
          <w:sz w:val="20"/>
          <w:szCs w:val="20"/>
        </w:rPr>
      </w:pPr>
      <w:r>
        <w:rPr>
          <w:rFonts w:ascii="inherit" w:hAnsi="inherit"/>
          <w:sz w:val="20"/>
          <w:szCs w:val="20"/>
        </w:rPr>
        <w:t xml:space="preserve">Viewing performances of TV prayer over a five-year period suggests that Roberts became increasingly aware of the capacities of the new televisual medium. This technical production of presence for the isolated members of the television audience interfaced techniques of prayer with the medium of television to “project” </w:t>
      </w:r>
      <w:r>
        <w:rPr>
          <w:rFonts w:ascii="inherit" w:hAnsi="inherit"/>
          <w:sz w:val="20"/>
          <w:szCs w:val="20"/>
        </w:rPr>
        <w:lastRenderedPageBreak/>
        <w:t>the Holy atmosphere of the tent into the privacy of the home.  In the incipient stages of the TV prayer, Roberts encouraged the televisual audience to participate and “believe with me” as he prayed for their healing. Thousands of letters from members of the television audience claiming to be healed through this prayer inundated the Tulsa headquarters of the Roberts organization during the first year of telecasting. After many broadcasts of this early televisual curative technique, the performance of the prayer became more charismatic, with pronounced modulations of the voice and vigorous gesticulations directed right at the camera. This more enthusiastic performance was coupled with instructions for the television audience to place their hand upon their chest as a point of contact for the release of their faith. By 1959, the cinematic eye had drawn so close to the healing performance that the two techniques became intertwined or interfaced in the final manifestation of the TV prayer.</w:t>
      </w:r>
    </w:p>
    <w:p w:rsidR="006640A5" w:rsidRDefault="006640A5" w:rsidP="006640A5">
      <w:pPr>
        <w:pStyle w:val="NormalWeb"/>
        <w:spacing w:before="0" w:beforeAutospacing="0" w:after="0" w:afterAutospacing="0"/>
        <w:textAlignment w:val="baseline"/>
        <w:rPr>
          <w:rFonts w:ascii="inherit" w:hAnsi="inherit"/>
          <w:sz w:val="20"/>
          <w:szCs w:val="20"/>
        </w:rPr>
      </w:pPr>
      <w:r>
        <w:rPr>
          <w:rFonts w:ascii="inherit" w:hAnsi="inherit"/>
          <w:sz w:val="20"/>
          <w:szCs w:val="20"/>
        </w:rPr>
        <w:t xml:space="preserve">Through a cinematic close-up, Roberts face almost fills the screen as he speaks directly to the camera: “This is your moment. This is God’s hour to heal you and make you whole. Please come up here and touch my </w:t>
      </w:r>
      <w:proofErr w:type="gramStart"/>
      <w:r>
        <w:rPr>
          <w:rFonts w:ascii="inherit" w:hAnsi="inherit"/>
          <w:sz w:val="20"/>
          <w:szCs w:val="20"/>
        </w:rPr>
        <w:t>hand, and</w:t>
      </w:r>
      <w:proofErr w:type="gramEnd"/>
      <w:r>
        <w:rPr>
          <w:rFonts w:ascii="inherit" w:hAnsi="inherit"/>
          <w:sz w:val="20"/>
          <w:szCs w:val="20"/>
        </w:rPr>
        <w:t xml:space="preserve"> let me touch your hand with my hand and let me pray for you….”. (at 22:50 in the video). During these ritual preparations for the healing prayer, Roberts raises his right hand of discernment and meticulously places it upon what seems to be a translucent pane of glass. Through this performance of cinematic </w:t>
      </w:r>
      <w:proofErr w:type="spellStart"/>
      <w:r>
        <w:rPr>
          <w:rFonts w:ascii="inherit" w:hAnsi="inherit"/>
          <w:i/>
          <w:iCs/>
          <w:sz w:val="20"/>
          <w:szCs w:val="20"/>
          <w:bdr w:val="none" w:sz="0" w:space="0" w:color="auto" w:frame="1"/>
        </w:rPr>
        <w:t>trucage</w:t>
      </w:r>
      <w:proofErr w:type="spellEnd"/>
      <w:r>
        <w:rPr>
          <w:rFonts w:ascii="inherit" w:hAnsi="inherit"/>
          <w:sz w:val="20"/>
          <w:szCs w:val="20"/>
        </w:rPr>
        <w:t xml:space="preserve">, the hand of the healer appears to be not only enlarged to disconcerting proportions, but the flesh itself is visibly displaced as it is pressed against a clear substance. This transparent glass surface not only mimics the cinematic </w:t>
      </w:r>
      <w:proofErr w:type="gramStart"/>
      <w:r>
        <w:rPr>
          <w:rFonts w:ascii="inherit" w:hAnsi="inherit"/>
          <w:sz w:val="20"/>
          <w:szCs w:val="20"/>
        </w:rPr>
        <w:t>eye, but</w:t>
      </w:r>
      <w:proofErr w:type="gramEnd"/>
      <w:r>
        <w:rPr>
          <w:rFonts w:ascii="inherit" w:hAnsi="inherit"/>
          <w:sz w:val="20"/>
          <w:szCs w:val="20"/>
        </w:rPr>
        <w:t xml:space="preserve"> foregrounds the doubled immediacy of the television screen itself as an experience that is simultaneously present and actual within the private space of the home yet subsists in a public or communal experience </w:t>
      </w:r>
      <w:r>
        <w:rPr>
          <w:rFonts w:ascii="inherit" w:hAnsi="inherit"/>
          <w:i/>
          <w:iCs/>
          <w:sz w:val="20"/>
          <w:szCs w:val="20"/>
          <w:bdr w:val="none" w:sz="0" w:space="0" w:color="auto" w:frame="1"/>
        </w:rPr>
        <w:t>somewhere else</w:t>
      </w:r>
      <w:r>
        <w:rPr>
          <w:rFonts w:ascii="inherit" w:hAnsi="inherit"/>
          <w:sz w:val="20"/>
          <w:szCs w:val="20"/>
        </w:rPr>
        <w:t xml:space="preserve">. This cinematic special effect produced a sensation of sacred presence for the television audience, as if the hand of the healer himself was </w:t>
      </w:r>
      <w:proofErr w:type="gramStart"/>
      <w:r>
        <w:rPr>
          <w:rFonts w:ascii="inherit" w:hAnsi="inherit"/>
          <w:sz w:val="20"/>
          <w:szCs w:val="20"/>
        </w:rPr>
        <w:t>actually pressing</w:t>
      </w:r>
      <w:proofErr w:type="gramEnd"/>
      <w:r>
        <w:rPr>
          <w:rFonts w:ascii="inherit" w:hAnsi="inherit"/>
          <w:sz w:val="20"/>
          <w:szCs w:val="20"/>
        </w:rPr>
        <w:t xml:space="preserve"> against the screen. Many years later, this doubled immediacy of the televisual membrane would be utilized for specifically uncanny effects in popular films such as Steven Spielberg’s </w:t>
      </w:r>
      <w:r>
        <w:rPr>
          <w:rFonts w:ascii="inherit" w:hAnsi="inherit"/>
          <w:i/>
          <w:iCs/>
          <w:sz w:val="20"/>
          <w:szCs w:val="20"/>
          <w:bdr w:val="none" w:sz="0" w:space="0" w:color="auto" w:frame="1"/>
        </w:rPr>
        <w:t>Poltergeist </w:t>
      </w:r>
      <w:r>
        <w:rPr>
          <w:rFonts w:ascii="inherit" w:hAnsi="inherit"/>
          <w:sz w:val="20"/>
          <w:szCs w:val="20"/>
        </w:rPr>
        <w:t>(1982), and David Cronenberg’s </w:t>
      </w:r>
      <w:proofErr w:type="spellStart"/>
      <w:r>
        <w:rPr>
          <w:rFonts w:ascii="inherit" w:hAnsi="inherit"/>
          <w:i/>
          <w:iCs/>
          <w:sz w:val="20"/>
          <w:szCs w:val="20"/>
          <w:bdr w:val="none" w:sz="0" w:space="0" w:color="auto" w:frame="1"/>
        </w:rPr>
        <w:t>Videodrome</w:t>
      </w:r>
      <w:proofErr w:type="spellEnd"/>
      <w:r>
        <w:rPr>
          <w:rFonts w:ascii="inherit" w:hAnsi="inherit"/>
          <w:sz w:val="20"/>
          <w:szCs w:val="20"/>
        </w:rPr>
        <w:t> (1983). Within the symbolic form of Holy Ghost power, this televisual doubling can be mobilized in the service of a curative rite; once freed from the realm of the sacred, the permeable surface of the screen becomes a harbinger of death and unbearable anxiety.</w:t>
      </w:r>
    </w:p>
    <w:p w:rsidR="006640A5" w:rsidRDefault="006640A5" w:rsidP="006640A5">
      <w:pPr>
        <w:pStyle w:val="NormalWeb"/>
        <w:spacing w:before="0" w:beforeAutospacing="0" w:after="269" w:afterAutospacing="0"/>
        <w:textAlignment w:val="baseline"/>
        <w:rPr>
          <w:rFonts w:ascii="inherit" w:hAnsi="inherit"/>
          <w:sz w:val="20"/>
          <w:szCs w:val="20"/>
        </w:rPr>
      </w:pPr>
    </w:p>
    <w:p w:rsidR="006640A5" w:rsidRDefault="006640A5" w:rsidP="006640A5">
      <w:pPr>
        <w:pStyle w:val="NormalWeb"/>
        <w:spacing w:before="0" w:beforeAutospacing="0" w:after="269" w:afterAutospacing="0"/>
        <w:textAlignment w:val="baseline"/>
        <w:rPr>
          <w:rFonts w:ascii="inherit" w:hAnsi="inherit"/>
          <w:sz w:val="20"/>
          <w:szCs w:val="20"/>
        </w:rPr>
      </w:pPr>
      <w:r>
        <w:rPr>
          <w:rFonts w:ascii="inherit" w:hAnsi="inherit"/>
          <w:sz w:val="20"/>
          <w:szCs w:val="20"/>
        </w:rPr>
        <w:t xml:space="preserve">The healing television prayer pioneered by Roberts in the middle of the twentieth century now </w:t>
      </w:r>
      <w:proofErr w:type="gramStart"/>
      <w:r>
        <w:rPr>
          <w:rFonts w:ascii="inherit" w:hAnsi="inherit"/>
          <w:sz w:val="20"/>
          <w:szCs w:val="20"/>
        </w:rPr>
        <w:t>continues on</w:t>
      </w:r>
      <w:proofErr w:type="gramEnd"/>
      <w:r>
        <w:rPr>
          <w:rFonts w:ascii="inherit" w:hAnsi="inherit"/>
          <w:sz w:val="20"/>
          <w:szCs w:val="20"/>
        </w:rPr>
        <w:t xml:space="preserve"> a global scale, with televangelists all over the world instructing their audience to make tactile contact with silhouette handprints upon the screen, or place objects upon the television set to be ingested or rubbed against the skin. Perhaps the most important clue to this technological history of prayer resides in that iconic image of prayer as two hands pressed together. In a televisual age, the two hands-at-prayer realize new tactile and experiential possibilities through the mediation of mechanical eyes, translucent screens, and special effects.</w:t>
      </w:r>
    </w:p>
    <w:p w:rsidR="006640A5" w:rsidRPr="006640A5" w:rsidRDefault="006640A5" w:rsidP="006640A5">
      <w:pPr>
        <w:spacing w:after="0" w:line="264" w:lineRule="atLeast"/>
        <w:textAlignment w:val="baseline"/>
        <w:outlineLvl w:val="1"/>
        <w:rPr>
          <w:rFonts w:ascii="inherit" w:eastAsia="Times New Roman" w:hAnsi="inherit" w:cs="Times New Roman"/>
          <w:b/>
          <w:bCs/>
          <w:sz w:val="36"/>
          <w:szCs w:val="36"/>
        </w:rPr>
      </w:pPr>
      <w:hyperlink r:id="rId12" w:history="1">
        <w:proofErr w:type="spellStart"/>
        <w:r w:rsidRPr="006640A5">
          <w:rPr>
            <w:rFonts w:ascii="Arial" w:eastAsia="Times New Roman" w:hAnsi="Arial" w:cs="Arial"/>
            <w:b/>
            <w:bCs/>
            <w:color w:val="AE570A"/>
            <w:sz w:val="36"/>
            <w:szCs w:val="36"/>
            <w:u w:val="single"/>
            <w:bdr w:val="none" w:sz="0" w:space="0" w:color="auto" w:frame="1"/>
          </w:rPr>
          <w:t>ePrayer</w:t>
        </w:r>
        <w:proofErr w:type="spellEnd"/>
        <w:r w:rsidRPr="006640A5">
          <w:rPr>
            <w:rFonts w:ascii="Arial" w:eastAsia="Times New Roman" w:hAnsi="Arial" w:cs="Arial"/>
            <w:b/>
            <w:bCs/>
            <w:color w:val="AE570A"/>
            <w:sz w:val="36"/>
            <w:szCs w:val="36"/>
            <w:u w:val="single"/>
            <w:bdr w:val="none" w:sz="0" w:space="0" w:color="auto" w:frame="1"/>
          </w:rPr>
          <w:t xml:space="preserve"> and Online Prayer Rituals</w:t>
        </w:r>
      </w:hyperlink>
    </w:p>
    <w:p w:rsidR="006640A5" w:rsidRPr="006640A5" w:rsidRDefault="006640A5" w:rsidP="006640A5">
      <w:pPr>
        <w:spacing w:after="0" w:line="240" w:lineRule="auto"/>
        <w:textAlignment w:val="baseline"/>
        <w:rPr>
          <w:rFonts w:ascii="Arial" w:eastAsia="Times New Roman" w:hAnsi="Arial" w:cs="Arial"/>
          <w:color w:val="969581"/>
          <w:sz w:val="20"/>
          <w:szCs w:val="20"/>
        </w:rPr>
      </w:pPr>
      <w:r w:rsidRPr="006640A5">
        <w:rPr>
          <w:rFonts w:ascii="Arial" w:eastAsia="Times New Roman" w:hAnsi="Arial" w:cs="Arial"/>
          <w:color w:val="969581"/>
          <w:sz w:val="20"/>
          <w:szCs w:val="20"/>
        </w:rPr>
        <w:t>posted by </w:t>
      </w:r>
      <w:hyperlink r:id="rId13" w:tooltip="Posts by Travis Cooper" w:history="1">
        <w:r w:rsidRPr="006640A5">
          <w:rPr>
            <w:rFonts w:ascii="Arial" w:eastAsia="Times New Roman" w:hAnsi="Arial" w:cs="Arial"/>
            <w:color w:val="45847D"/>
            <w:sz w:val="20"/>
            <w:szCs w:val="20"/>
            <w:u w:val="single"/>
            <w:bdr w:val="none" w:sz="0" w:space="0" w:color="auto" w:frame="1"/>
          </w:rPr>
          <w:t>Travis Cooper</w:t>
        </w:r>
      </w:hyperlink>
      <w:r w:rsidRPr="006640A5">
        <w:rPr>
          <w:rFonts w:ascii="Arial" w:eastAsia="Times New Roman" w:hAnsi="Arial" w:cs="Arial"/>
          <w:color w:val="969581"/>
          <w:sz w:val="20"/>
          <w:szCs w:val="20"/>
        </w:rPr>
        <w:t xml:space="preserve"> on January 13, 2014</w:t>
      </w:r>
    </w:p>
    <w:p w:rsidR="006640A5" w:rsidRDefault="006640A5" w:rsidP="006640A5">
      <w:pPr>
        <w:spacing w:after="0" w:line="240" w:lineRule="auto"/>
        <w:textAlignment w:val="baseline"/>
        <w:rPr>
          <w:rFonts w:ascii="inherit" w:eastAsia="Times New Roman" w:hAnsi="inherit" w:cs="Times New Roman"/>
          <w:i/>
          <w:iCs/>
          <w:sz w:val="20"/>
          <w:szCs w:val="20"/>
          <w:bdr w:val="none" w:sz="0" w:space="0" w:color="auto" w:frame="1"/>
        </w:rPr>
      </w:pPr>
    </w:p>
    <w:p w:rsidR="006640A5" w:rsidRPr="006640A5" w:rsidRDefault="006640A5" w:rsidP="006640A5">
      <w:pPr>
        <w:spacing w:after="0" w:line="240" w:lineRule="auto"/>
        <w:textAlignment w:val="baseline"/>
        <w:rPr>
          <w:rFonts w:ascii="inherit" w:eastAsia="Times New Roman" w:hAnsi="inherit" w:cs="Times New Roman"/>
          <w:sz w:val="20"/>
          <w:szCs w:val="20"/>
        </w:rPr>
      </w:pPr>
      <w:r w:rsidRPr="006640A5">
        <w:rPr>
          <w:rFonts w:ascii="inherit" w:eastAsia="Times New Roman" w:hAnsi="inherit" w:cs="Times New Roman"/>
          <w:i/>
          <w:iCs/>
          <w:sz w:val="20"/>
          <w:szCs w:val="20"/>
          <w:bdr w:val="none" w:sz="0" w:space="0" w:color="auto" w:frame="1"/>
        </w:rPr>
        <w:t>[Editor’s Note: This essay resides within Anderson Blanton’s “</w:t>
      </w:r>
      <w:hyperlink r:id="rId14" w:tooltip="Reverberations | The Materiality of Prayer" w:history="1">
        <w:r w:rsidRPr="006640A5">
          <w:rPr>
            <w:rFonts w:ascii="inherit" w:eastAsia="Times New Roman" w:hAnsi="inherit" w:cs="Times New Roman"/>
            <w:i/>
            <w:iCs/>
            <w:color w:val="45847D"/>
            <w:sz w:val="20"/>
            <w:szCs w:val="20"/>
            <w:u w:val="single"/>
            <w:bdr w:val="none" w:sz="0" w:space="0" w:color="auto" w:frame="1"/>
          </w:rPr>
          <w:t>The Materiality of Prayer</w:t>
        </w:r>
      </w:hyperlink>
      <w:r w:rsidRPr="006640A5">
        <w:rPr>
          <w:rFonts w:ascii="inherit" w:eastAsia="Times New Roman" w:hAnsi="inherit" w:cs="Times New Roman"/>
          <w:i/>
          <w:iCs/>
          <w:sz w:val="20"/>
          <w:szCs w:val="20"/>
          <w:bdr w:val="none" w:sz="0" w:space="0" w:color="auto" w:frame="1"/>
        </w:rPr>
        <w:t>,” a portal into Reverberations’ unfolding compendium of resources related to the study of prayer.]</w:t>
      </w:r>
    </w:p>
    <w:p w:rsidR="006640A5" w:rsidRDefault="006640A5" w:rsidP="006640A5">
      <w:pPr>
        <w:spacing w:after="0" w:line="240" w:lineRule="auto"/>
        <w:textAlignment w:val="baseline"/>
        <w:rPr>
          <w:rFonts w:ascii="inherit" w:eastAsia="Times New Roman" w:hAnsi="inherit" w:cs="Times New Roman"/>
          <w:noProof/>
          <w:color w:val="45847D"/>
          <w:sz w:val="20"/>
          <w:szCs w:val="20"/>
          <w:bdr w:val="none" w:sz="0" w:space="0" w:color="auto" w:frame="1"/>
        </w:rPr>
      </w:pPr>
    </w:p>
    <w:p w:rsidR="006640A5" w:rsidRPr="006640A5" w:rsidRDefault="006640A5" w:rsidP="006640A5">
      <w:pPr>
        <w:spacing w:after="0" w:line="240" w:lineRule="auto"/>
        <w:textAlignment w:val="baseline"/>
        <w:rPr>
          <w:rFonts w:ascii="inherit" w:eastAsia="Times New Roman" w:hAnsi="inherit" w:cs="Times New Roman"/>
          <w:sz w:val="20"/>
          <w:szCs w:val="20"/>
        </w:rPr>
      </w:pPr>
      <w:r w:rsidRPr="006640A5">
        <w:rPr>
          <w:rFonts w:ascii="inherit" w:eastAsia="Times New Roman" w:hAnsi="inherit" w:cs="Times New Roman"/>
          <w:sz w:val="20"/>
          <w:szCs w:val="20"/>
        </w:rPr>
        <w:t xml:space="preserve">Global televangelists, with their empires of technologically progressive media, are on the forefront of changes to evangelical prayer techniques and their implementations. People often seek out healing from big names in the international revivalist circuit, healers whom they believe they have witnessed (likely from television) serving as efficacious conduits of the Holy Spirit. Itinerant healer Benedictus </w:t>
      </w:r>
      <w:proofErr w:type="spellStart"/>
      <w:r w:rsidRPr="006640A5">
        <w:rPr>
          <w:rFonts w:ascii="inherit" w:eastAsia="Times New Roman" w:hAnsi="inherit" w:cs="Times New Roman"/>
          <w:sz w:val="20"/>
          <w:szCs w:val="20"/>
        </w:rPr>
        <w:t>Toufik</w:t>
      </w:r>
      <w:proofErr w:type="spellEnd"/>
      <w:r w:rsidRPr="006640A5">
        <w:rPr>
          <w:rFonts w:ascii="inherit" w:eastAsia="Times New Roman" w:hAnsi="inherit" w:cs="Times New Roman"/>
          <w:sz w:val="20"/>
          <w:szCs w:val="20"/>
        </w:rPr>
        <w:t xml:space="preserve"> Hinn—known around the globe as Pastor Benny Hinn—is a vanguard figure within these developments.</w:t>
      </w:r>
    </w:p>
    <w:p w:rsidR="006640A5" w:rsidRDefault="006640A5" w:rsidP="006640A5">
      <w:pPr>
        <w:rPr>
          <w:rFonts w:ascii="inherit" w:eastAsia="Times New Roman" w:hAnsi="inherit" w:cs="Times New Roman"/>
          <w:sz w:val="20"/>
          <w:szCs w:val="20"/>
        </w:rPr>
      </w:pPr>
    </w:p>
    <w:p w:rsidR="006640A5" w:rsidRPr="006640A5" w:rsidRDefault="006640A5" w:rsidP="006640A5">
      <w:pPr>
        <w:rPr>
          <w:rFonts w:ascii="inherit" w:eastAsia="Times New Roman" w:hAnsi="inherit" w:cs="Times New Roman"/>
          <w:sz w:val="20"/>
          <w:szCs w:val="20"/>
        </w:rPr>
      </w:pPr>
      <w:r w:rsidRPr="006640A5">
        <w:rPr>
          <w:rFonts w:ascii="inherit" w:eastAsia="Times New Roman" w:hAnsi="inherit" w:cs="Times New Roman"/>
          <w:sz w:val="20"/>
          <w:szCs w:val="20"/>
        </w:rPr>
        <w:t>Hinn’s website serves as a hub of online prayer resources and simultaneously constitutes a new form of social prayer. “Amazing things happen when people come into agreement,” Hinn makes clear on the </w:t>
      </w:r>
      <w:hyperlink r:id="rId15" w:history="1">
        <w:r w:rsidRPr="006640A5">
          <w:rPr>
            <w:rFonts w:ascii="inherit" w:eastAsia="Times New Roman" w:hAnsi="inherit" w:cs="Times New Roman"/>
            <w:color w:val="45847D"/>
            <w:sz w:val="20"/>
            <w:szCs w:val="20"/>
            <w:u w:val="single"/>
            <w:bdr w:val="none" w:sz="0" w:space="0" w:color="auto" w:frame="1"/>
          </w:rPr>
          <w:t>website</w:t>
        </w:r>
      </w:hyperlink>
      <w:r w:rsidRPr="006640A5">
        <w:rPr>
          <w:rFonts w:ascii="inherit" w:eastAsia="Times New Roman" w:hAnsi="inherit" w:cs="Times New Roman"/>
          <w:sz w:val="20"/>
          <w:szCs w:val="20"/>
        </w:rPr>
        <w:t xml:space="preserve">. While cultural commentators make much about the fragmenting effects of social technologies on modern persons, Hinn underscores the unifying nature of the medium: “Benny Hinn Ministries is dedicated to praying in unity </w:t>
      </w:r>
      <w:r w:rsidRPr="006640A5">
        <w:rPr>
          <w:rFonts w:ascii="inherit" w:eastAsia="Times New Roman" w:hAnsi="inherit" w:cs="Times New Roman"/>
          <w:sz w:val="20"/>
          <w:szCs w:val="20"/>
        </w:rPr>
        <w:lastRenderedPageBreak/>
        <w:t>with people, just like you, who desire to see the Holy Spirit’s miracle-working power unleashed.” Prayer, extrapolating from Hinn’s description, is a coming into agreement with others, a facilitation of unity, and a focusing of concerted mental effort onto some entity, need, problem, or situation in need of address. Internet prayer centers such as Hinn’s supplement existing evangelical prayer rituals by bringing together physically distant, individual penitents. These new techniques do not intend to </w:t>
      </w:r>
      <w:r w:rsidRPr="006640A5">
        <w:rPr>
          <w:rFonts w:ascii="inherit" w:eastAsia="Times New Roman" w:hAnsi="inherit" w:cs="Times New Roman"/>
          <w:i/>
          <w:iCs/>
          <w:sz w:val="20"/>
          <w:szCs w:val="20"/>
          <w:bdr w:val="none" w:sz="0" w:space="0" w:color="auto" w:frame="1"/>
        </w:rPr>
        <w:t>replace</w:t>
      </w:r>
      <w:r w:rsidRPr="006640A5">
        <w:rPr>
          <w:rFonts w:ascii="inherit" w:eastAsia="Times New Roman" w:hAnsi="inherit" w:cs="Times New Roman"/>
          <w:sz w:val="20"/>
          <w:szCs w:val="20"/>
        </w:rPr>
        <w:t> traditional practices—such as index-card sized </w:t>
      </w:r>
      <w:hyperlink r:id="rId16" w:history="1">
        <w:r w:rsidRPr="006640A5">
          <w:rPr>
            <w:rFonts w:ascii="inherit" w:eastAsia="Times New Roman" w:hAnsi="inherit" w:cs="Times New Roman"/>
            <w:color w:val="45847D"/>
            <w:sz w:val="20"/>
            <w:szCs w:val="20"/>
            <w:u w:val="single"/>
            <w:bdr w:val="none" w:sz="0" w:space="0" w:color="auto" w:frame="1"/>
          </w:rPr>
          <w:t>prayer request forms</w:t>
        </w:r>
      </w:hyperlink>
      <w:r w:rsidRPr="006640A5">
        <w:rPr>
          <w:rFonts w:ascii="inherit" w:eastAsia="Times New Roman" w:hAnsi="inherit" w:cs="Times New Roman"/>
          <w:sz w:val="20"/>
          <w:szCs w:val="20"/>
        </w:rPr>
        <w:t>, turned in physically at church services or revival events—but rather to </w:t>
      </w:r>
      <w:r w:rsidRPr="006640A5">
        <w:rPr>
          <w:rFonts w:ascii="inherit" w:eastAsia="Times New Roman" w:hAnsi="inherit" w:cs="Times New Roman"/>
          <w:i/>
          <w:iCs/>
          <w:sz w:val="20"/>
          <w:szCs w:val="20"/>
          <w:bdr w:val="none" w:sz="0" w:space="0" w:color="auto" w:frame="1"/>
        </w:rPr>
        <w:t>add</w:t>
      </w:r>
      <w:r w:rsidRPr="006640A5">
        <w:rPr>
          <w:rFonts w:ascii="inherit" w:eastAsia="Times New Roman" w:hAnsi="inherit" w:cs="Times New Roman"/>
          <w:sz w:val="20"/>
          <w:szCs w:val="20"/>
        </w:rPr>
        <w:t> </w:t>
      </w:r>
      <w:r w:rsidRPr="006640A5">
        <w:rPr>
          <w:rFonts w:ascii="inherit" w:eastAsia="Times New Roman" w:hAnsi="inherit" w:cs="Times New Roman"/>
          <w:i/>
          <w:iCs/>
          <w:sz w:val="20"/>
          <w:szCs w:val="20"/>
          <w:bdr w:val="none" w:sz="0" w:space="0" w:color="auto" w:frame="1"/>
        </w:rPr>
        <w:t>to</w:t>
      </w:r>
      <w:r w:rsidRPr="006640A5">
        <w:rPr>
          <w:rFonts w:ascii="inherit" w:eastAsia="Times New Roman" w:hAnsi="inherit" w:cs="Times New Roman"/>
          <w:sz w:val="20"/>
          <w:szCs w:val="20"/>
        </w:rPr>
        <w:t> an existing repertoire of methods.</w:t>
      </w:r>
    </w:p>
    <w:p w:rsidR="006640A5" w:rsidRPr="006640A5" w:rsidRDefault="006640A5" w:rsidP="006640A5">
      <w:pPr>
        <w:rPr>
          <w:rFonts w:ascii="inherit" w:eastAsia="Times New Roman" w:hAnsi="inherit" w:cs="Times New Roman"/>
          <w:sz w:val="20"/>
          <w:szCs w:val="20"/>
        </w:rPr>
      </w:pPr>
      <w:r w:rsidRPr="006640A5">
        <w:rPr>
          <w:rFonts w:ascii="inherit" w:eastAsia="Times New Roman" w:hAnsi="inherit" w:cs="Times New Roman"/>
          <w:sz w:val="20"/>
          <w:szCs w:val="20"/>
        </w:rPr>
        <w:t xml:space="preserve">Burgeoning technologies serve as expanding platforms or systems for prayer. The material </w:t>
      </w:r>
      <w:proofErr w:type="spellStart"/>
      <w:r w:rsidRPr="006640A5">
        <w:rPr>
          <w:rFonts w:ascii="inherit" w:eastAsia="Times New Roman" w:hAnsi="inherit" w:cs="Times New Roman"/>
          <w:sz w:val="20"/>
          <w:szCs w:val="20"/>
        </w:rPr>
        <w:t>apparati</w:t>
      </w:r>
      <w:proofErr w:type="spellEnd"/>
      <w:r w:rsidRPr="006640A5">
        <w:rPr>
          <w:rFonts w:ascii="inherit" w:eastAsia="Times New Roman" w:hAnsi="inherit" w:cs="Times New Roman"/>
          <w:sz w:val="20"/>
          <w:szCs w:val="20"/>
        </w:rPr>
        <w:t xml:space="preserve"> of these methods include PCs, laptops, tablets, smartphones, and other internet-enabled devices. These new techniques, as digital artifacts, emphasize the benefits of social online networking to evangelicals. We might group these expanding systems under the category of </w:t>
      </w:r>
      <w:proofErr w:type="spellStart"/>
      <w:r w:rsidRPr="006640A5">
        <w:rPr>
          <w:rFonts w:ascii="inherit" w:eastAsia="Times New Roman" w:hAnsi="inherit" w:cs="Times New Roman"/>
          <w:i/>
          <w:iCs/>
          <w:sz w:val="20"/>
          <w:szCs w:val="20"/>
          <w:bdr w:val="none" w:sz="0" w:space="0" w:color="auto" w:frame="1"/>
        </w:rPr>
        <w:t>ePrayer</w:t>
      </w:r>
      <w:proofErr w:type="spellEnd"/>
      <w:r w:rsidRPr="006640A5">
        <w:rPr>
          <w:rFonts w:ascii="inherit" w:eastAsia="Times New Roman" w:hAnsi="inherit" w:cs="Times New Roman"/>
          <w:sz w:val="20"/>
          <w:szCs w:val="20"/>
        </w:rPr>
        <w:t>.</w:t>
      </w:r>
    </w:p>
    <w:p w:rsidR="006640A5" w:rsidRDefault="006640A5" w:rsidP="006640A5">
      <w:pPr>
        <w:spacing w:after="0" w:line="240" w:lineRule="auto"/>
        <w:textAlignment w:val="baseline"/>
        <w:rPr>
          <w:rFonts w:ascii="inherit" w:eastAsia="Times New Roman" w:hAnsi="inherit" w:cs="Times New Roman"/>
          <w:noProof/>
          <w:color w:val="45847D"/>
          <w:sz w:val="20"/>
          <w:szCs w:val="20"/>
          <w:bdr w:val="none" w:sz="0" w:space="0" w:color="auto" w:frame="1"/>
        </w:rPr>
      </w:pPr>
    </w:p>
    <w:p w:rsidR="006640A5" w:rsidRPr="006640A5" w:rsidRDefault="006640A5" w:rsidP="006640A5">
      <w:pPr>
        <w:spacing w:after="0" w:line="240" w:lineRule="auto"/>
        <w:textAlignment w:val="baseline"/>
        <w:rPr>
          <w:rFonts w:ascii="inherit" w:eastAsia="Times New Roman" w:hAnsi="inherit" w:cs="Times New Roman"/>
          <w:sz w:val="20"/>
          <w:szCs w:val="20"/>
        </w:rPr>
      </w:pPr>
      <w:r w:rsidRPr="006640A5">
        <w:rPr>
          <w:rFonts w:ascii="inherit" w:eastAsia="Times New Roman" w:hAnsi="inherit" w:cs="Times New Roman"/>
          <w:sz w:val="20"/>
          <w:szCs w:val="20"/>
        </w:rPr>
        <w:t>But what do these technology-based prayer rituals look like? The method is straightforward. Members of Hinn’s online community of pray-</w:t>
      </w:r>
      <w:proofErr w:type="spellStart"/>
      <w:r w:rsidRPr="006640A5">
        <w:rPr>
          <w:rFonts w:ascii="inherit" w:eastAsia="Times New Roman" w:hAnsi="inherit" w:cs="Times New Roman"/>
          <w:sz w:val="20"/>
          <w:szCs w:val="20"/>
        </w:rPr>
        <w:t>ers</w:t>
      </w:r>
      <w:proofErr w:type="spellEnd"/>
      <w:r w:rsidRPr="006640A5">
        <w:rPr>
          <w:rFonts w:ascii="inherit" w:eastAsia="Times New Roman" w:hAnsi="inherit" w:cs="Times New Roman"/>
          <w:sz w:val="20"/>
          <w:szCs w:val="20"/>
        </w:rPr>
        <w:t>, the </w:t>
      </w:r>
      <w:hyperlink r:id="rId17" w:history="1">
        <w:r w:rsidRPr="006640A5">
          <w:rPr>
            <w:rFonts w:ascii="inherit" w:eastAsia="Times New Roman" w:hAnsi="inherit" w:cs="Times New Roman"/>
            <w:color w:val="45847D"/>
            <w:sz w:val="20"/>
            <w:szCs w:val="20"/>
            <w:u w:val="single"/>
            <w:bdr w:val="none" w:sz="0" w:space="0" w:color="auto" w:frame="1"/>
          </w:rPr>
          <w:t>Mighty Warriors Prayer Army</w:t>
        </w:r>
      </w:hyperlink>
      <w:r w:rsidRPr="006640A5">
        <w:rPr>
          <w:rFonts w:ascii="inherit" w:eastAsia="Times New Roman" w:hAnsi="inherit" w:cs="Times New Roman"/>
          <w:sz w:val="20"/>
          <w:szCs w:val="20"/>
        </w:rPr>
        <w:t> (MWPA), access the prayer listings on the website, page through the requests and commit to pray for those of their choosing. Joining this internet-mediated prayer team entails a contractual obligation—one commits to several duties, such as actively monitoring the listings and pledging to intercede for a certain number of requests, with the expectation that Benny Hinn Ministries (BHM), the MWPA’s parent organization, will reciprocate prayer for one’s own needs. By joining the prayer team, the intercessor agrees to pray both for laypeople around the world and for Hinn’s own specified needs. In return for their service as Mighty Warrior intercessors, BHM gives prayer team members exclusive permission to email personal requests straight to Hinn’s own address, with the assurance that BHM will pray daily for them and their family members. The program is an exchange of prayer-type goods in a digital forum; it is a submission to and reception of prayer obligations and returns. Hinn repeatedly emphasizes technologically advanced prayer’s connective or social dimension: “Think about the impact this has as your needs and the needs of others are taken to the Lord by thousands of prayer warriors around the world.”</w:t>
      </w:r>
    </w:p>
    <w:p w:rsidR="006640A5" w:rsidRDefault="006640A5" w:rsidP="006640A5">
      <w:pPr>
        <w:rPr>
          <w:rFonts w:ascii="inherit" w:eastAsia="Times New Roman" w:hAnsi="inherit" w:cs="Times New Roman"/>
          <w:sz w:val="20"/>
          <w:szCs w:val="20"/>
        </w:rPr>
      </w:pPr>
    </w:p>
    <w:p w:rsidR="006640A5" w:rsidRPr="006640A5" w:rsidRDefault="006640A5" w:rsidP="006640A5">
      <w:pPr>
        <w:rPr>
          <w:rFonts w:ascii="inherit" w:eastAsia="Times New Roman" w:hAnsi="inherit" w:cs="Times New Roman"/>
          <w:sz w:val="20"/>
          <w:szCs w:val="20"/>
        </w:rPr>
      </w:pPr>
      <w:r w:rsidRPr="006640A5">
        <w:rPr>
          <w:rFonts w:ascii="inherit" w:eastAsia="Times New Roman" w:hAnsi="inherit" w:cs="Times New Roman"/>
          <w:sz w:val="20"/>
          <w:szCs w:val="20"/>
        </w:rPr>
        <w:t>Penitents stricken with an ailment or assailed by some other pressing need or troublesome situation can submit urgent requests in a matter of minutes by accessing </w:t>
      </w:r>
      <w:hyperlink r:id="rId18" w:history="1">
        <w:r w:rsidRPr="006640A5">
          <w:rPr>
            <w:rFonts w:ascii="inherit" w:eastAsia="Times New Roman" w:hAnsi="inherit" w:cs="Times New Roman"/>
            <w:color w:val="45847D"/>
            <w:sz w:val="20"/>
            <w:szCs w:val="20"/>
            <w:u w:val="single"/>
            <w:bdr w:val="none" w:sz="0" w:space="0" w:color="auto" w:frame="1"/>
          </w:rPr>
          <w:t>the website</w:t>
        </w:r>
      </w:hyperlink>
      <w:r w:rsidRPr="006640A5">
        <w:rPr>
          <w:rFonts w:ascii="inherit" w:eastAsia="Times New Roman" w:hAnsi="inherit" w:cs="Times New Roman"/>
          <w:sz w:val="20"/>
          <w:szCs w:val="20"/>
        </w:rPr>
        <w:t>, hovering over the “Prayer” tab, and selecting the “</w:t>
      </w:r>
      <w:hyperlink r:id="rId19" w:history="1">
        <w:r w:rsidRPr="006640A5">
          <w:rPr>
            <w:rFonts w:ascii="inherit" w:eastAsia="Times New Roman" w:hAnsi="inherit" w:cs="Times New Roman"/>
            <w:color w:val="45847D"/>
            <w:sz w:val="20"/>
            <w:szCs w:val="20"/>
            <w:u w:val="single"/>
            <w:bdr w:val="none" w:sz="0" w:space="0" w:color="auto" w:frame="1"/>
          </w:rPr>
          <w:t>Prayer Requests</w:t>
        </w:r>
      </w:hyperlink>
      <w:r w:rsidRPr="006640A5">
        <w:rPr>
          <w:rFonts w:ascii="inherit" w:eastAsia="Times New Roman" w:hAnsi="inherit" w:cs="Times New Roman"/>
          <w:sz w:val="20"/>
          <w:szCs w:val="20"/>
        </w:rPr>
        <w:t>” option. The request form itself is simple to navigate: the penitent enters her name, email address, and country, then follows three other prompts. First, she has the choice to enter a description of the request (“Prayer request is for”). Second, she details her request by choosing an option from a drop-down box (“The prayer need is”)—there are forty-four alphabetically arranged maladies, topics, or specific subjects to choose from, such as Abuse, Cancer, Cold &amp; Flu, Deliverance from Addictions, Family Member, For Finances, My Job, For Myself, For Provision, Heart Problems, Internal Organs, Legal Situations, Marriage Restoration, Salvation, Sexual Perversion, and Tobacco. Lastly, a text box (with a 1000-character limit) offers the penitent space to further nuance or qualify her need. The “Submit” tab, at the bottom of the form, sends the request through the network where it manifests in the global prayer listings. Additionally, the website gives the option of submitting a </w:t>
      </w:r>
      <w:hyperlink r:id="rId20" w:history="1">
        <w:r w:rsidRPr="006640A5">
          <w:rPr>
            <w:rFonts w:ascii="inherit" w:eastAsia="Times New Roman" w:hAnsi="inherit" w:cs="Times New Roman"/>
            <w:color w:val="45847D"/>
            <w:sz w:val="20"/>
            <w:szCs w:val="20"/>
            <w:u w:val="single"/>
            <w:bdr w:val="none" w:sz="0" w:space="0" w:color="auto" w:frame="1"/>
          </w:rPr>
          <w:t>praise report</w:t>
        </w:r>
      </w:hyperlink>
      <w:r w:rsidRPr="006640A5">
        <w:rPr>
          <w:rFonts w:ascii="inherit" w:eastAsia="Times New Roman" w:hAnsi="inherit" w:cs="Times New Roman"/>
          <w:sz w:val="20"/>
          <w:szCs w:val="20"/>
        </w:rPr>
        <w:t> and encourages the penitent, if possible, to include medical documentation for a claimed healing.</w:t>
      </w:r>
    </w:p>
    <w:p w:rsidR="006640A5" w:rsidRPr="006640A5" w:rsidRDefault="006640A5" w:rsidP="006640A5">
      <w:pPr>
        <w:rPr>
          <w:rFonts w:ascii="inherit" w:eastAsia="Times New Roman" w:hAnsi="inherit" w:cs="Times New Roman"/>
          <w:i/>
          <w:iCs/>
          <w:sz w:val="20"/>
          <w:szCs w:val="20"/>
          <w:bdr w:val="none" w:sz="0" w:space="0" w:color="auto" w:frame="1"/>
        </w:rPr>
      </w:pPr>
      <w:proofErr w:type="spellStart"/>
      <w:r w:rsidRPr="006640A5">
        <w:rPr>
          <w:rFonts w:ascii="inherit" w:eastAsia="Times New Roman" w:hAnsi="inherit" w:cs="Times New Roman"/>
          <w:i/>
          <w:iCs/>
          <w:sz w:val="20"/>
          <w:szCs w:val="20"/>
          <w:bdr w:val="none" w:sz="0" w:space="0" w:color="auto" w:frame="1"/>
        </w:rPr>
        <w:t>ePrayer</w:t>
      </w:r>
      <w:proofErr w:type="spellEnd"/>
      <w:r w:rsidRPr="006640A5">
        <w:rPr>
          <w:rFonts w:ascii="inherit" w:eastAsia="Times New Roman" w:hAnsi="inherit" w:cs="Times New Roman"/>
          <w:sz w:val="20"/>
          <w:szCs w:val="20"/>
        </w:rPr>
        <w:t> is individual prayer extended via digital interconnection and social networking. This sort of prayer is profoundly social in nature. Benny Hinn harnesses this technology, as he has others—including satellite, radio, and cable broadcasting—for what he considers divinely authorized reasons. In these online prayer rituals, participants experience media as connecting geographically distant persons. In their conceptualizations and uses of technological forms, MWPA pray-</w:t>
      </w:r>
      <w:proofErr w:type="spellStart"/>
      <w:r w:rsidRPr="006640A5">
        <w:rPr>
          <w:rFonts w:ascii="inherit" w:eastAsia="Times New Roman" w:hAnsi="inherit" w:cs="Times New Roman"/>
          <w:sz w:val="20"/>
          <w:szCs w:val="20"/>
        </w:rPr>
        <w:t>ers</w:t>
      </w:r>
      <w:proofErr w:type="spellEnd"/>
      <w:r w:rsidRPr="006640A5">
        <w:rPr>
          <w:rFonts w:ascii="inherit" w:eastAsia="Times New Roman" w:hAnsi="inherit" w:cs="Times New Roman"/>
          <w:sz w:val="20"/>
          <w:szCs w:val="20"/>
        </w:rPr>
        <w:t xml:space="preserve"> see these new media as overrides of physical absence and, in no small part, veritable disseminations of the Holy Spirit’s healing and saving power. What Hinn enjoys about the internet is its power to build what he views as its social, ritual-effective networks. Submitted requests “are instantly sent to our Mighty Warriors Prayer Army, a worldwide group of tens of thousands of faithful believers,” the website </w:t>
      </w:r>
      <w:hyperlink r:id="rId21" w:history="1">
        <w:r w:rsidRPr="006640A5">
          <w:rPr>
            <w:rFonts w:ascii="inherit" w:eastAsia="Times New Roman" w:hAnsi="inherit" w:cs="Times New Roman"/>
            <w:color w:val="45847D"/>
            <w:sz w:val="20"/>
            <w:szCs w:val="20"/>
            <w:u w:val="single"/>
            <w:bdr w:val="none" w:sz="0" w:space="0" w:color="auto" w:frame="1"/>
          </w:rPr>
          <w:t>states</w:t>
        </w:r>
      </w:hyperlink>
      <w:r w:rsidRPr="006640A5">
        <w:rPr>
          <w:rFonts w:ascii="inherit" w:eastAsia="Times New Roman" w:hAnsi="inherit" w:cs="Times New Roman"/>
          <w:sz w:val="20"/>
          <w:szCs w:val="20"/>
        </w:rPr>
        <w:t xml:space="preserve">. In this social prayer system, numbers are crucial. </w:t>
      </w:r>
      <w:r w:rsidRPr="006640A5">
        <w:rPr>
          <w:rFonts w:ascii="inherit" w:eastAsia="Times New Roman" w:hAnsi="inherit" w:cs="Times New Roman"/>
          <w:sz w:val="20"/>
          <w:szCs w:val="20"/>
        </w:rPr>
        <w:lastRenderedPageBreak/>
        <w:t>The larger the “spiritual arena,” Hinn </w:t>
      </w:r>
      <w:hyperlink r:id="rId22" w:history="1">
        <w:r w:rsidRPr="006640A5">
          <w:rPr>
            <w:rFonts w:ascii="inherit" w:eastAsia="Times New Roman" w:hAnsi="inherit" w:cs="Times New Roman"/>
            <w:color w:val="45847D"/>
            <w:sz w:val="20"/>
            <w:szCs w:val="20"/>
            <w:u w:val="single"/>
            <w:bdr w:val="none" w:sz="0" w:space="0" w:color="auto" w:frame="1"/>
          </w:rPr>
          <w:t>argues</w:t>
        </w:r>
      </w:hyperlink>
      <w:r w:rsidRPr="006640A5">
        <w:rPr>
          <w:rFonts w:ascii="inherit" w:eastAsia="Times New Roman" w:hAnsi="inherit" w:cs="Times New Roman"/>
          <w:sz w:val="20"/>
          <w:szCs w:val="20"/>
        </w:rPr>
        <w:t xml:space="preserve">, the greater the “victory.” And </w:t>
      </w:r>
      <w:proofErr w:type="spellStart"/>
      <w:r w:rsidRPr="006640A5">
        <w:rPr>
          <w:rFonts w:ascii="inherit" w:eastAsia="Times New Roman" w:hAnsi="inherit" w:cs="Times New Roman"/>
          <w:sz w:val="20"/>
          <w:szCs w:val="20"/>
        </w:rPr>
        <w:t>everyday</w:t>
      </w:r>
      <w:proofErr w:type="spellEnd"/>
      <w:r w:rsidRPr="006640A5">
        <w:rPr>
          <w:rFonts w:ascii="inherit" w:eastAsia="Times New Roman" w:hAnsi="inherit" w:cs="Times New Roman"/>
          <w:sz w:val="20"/>
          <w:szCs w:val="20"/>
        </w:rPr>
        <w:t xml:space="preserve"> digital and technological </w:t>
      </w:r>
      <w:proofErr w:type="spellStart"/>
      <w:r w:rsidRPr="006640A5">
        <w:rPr>
          <w:rFonts w:ascii="inherit" w:eastAsia="Times New Roman" w:hAnsi="inherit" w:cs="Times New Roman"/>
          <w:sz w:val="20"/>
          <w:szCs w:val="20"/>
        </w:rPr>
        <w:t>apparati</w:t>
      </w:r>
      <w:proofErr w:type="spellEnd"/>
      <w:r w:rsidRPr="006640A5">
        <w:rPr>
          <w:rFonts w:ascii="inherit" w:eastAsia="Times New Roman" w:hAnsi="inherit" w:cs="Times New Roman"/>
          <w:sz w:val="20"/>
          <w:szCs w:val="20"/>
        </w:rPr>
        <w:t>, then, are the new objects of ritual connection.</w:t>
      </w:r>
    </w:p>
    <w:p w:rsidR="00C12DE0" w:rsidRDefault="006640A5"/>
    <w:sectPr w:rsidR="00C12D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0A5"/>
    <w:rsid w:val="006640A5"/>
    <w:rsid w:val="0099419E"/>
    <w:rsid w:val="00AA4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80755"/>
  <w15:chartTrackingRefBased/>
  <w15:docId w15:val="{3FBCF9D9-CCA1-41A2-B0C6-DEAC5EEE0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6640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6640A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640A5"/>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6640A5"/>
    <w:rPr>
      <w:color w:val="0000FF"/>
      <w:u w:val="single"/>
    </w:rPr>
  </w:style>
  <w:style w:type="paragraph" w:customStyle="1" w:styleId="byline">
    <w:name w:val="byline"/>
    <w:basedOn w:val="Normal"/>
    <w:rsid w:val="006640A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640A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640A5"/>
    <w:rPr>
      <w:i/>
      <w:iCs/>
    </w:rPr>
  </w:style>
  <w:style w:type="character" w:customStyle="1" w:styleId="Heading4Char">
    <w:name w:val="Heading 4 Char"/>
    <w:basedOn w:val="DefaultParagraphFont"/>
    <w:link w:val="Heading4"/>
    <w:uiPriority w:val="9"/>
    <w:semiHidden/>
    <w:rsid w:val="006640A5"/>
    <w:rPr>
      <w:rFonts w:asciiTheme="majorHAnsi" w:eastAsiaTheme="majorEastAsia" w:hAnsiTheme="majorHAnsi" w:cstheme="majorBidi"/>
      <w:i/>
      <w:iCs/>
      <w:color w:val="2F5496" w:themeColor="accent1" w:themeShade="BF"/>
    </w:rPr>
  </w:style>
  <w:style w:type="paragraph" w:customStyle="1" w:styleId="authorbox-bio">
    <w:name w:val="authorbox-bio"/>
    <w:basedOn w:val="Normal"/>
    <w:rsid w:val="006640A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640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6493">
      <w:bodyDiv w:val="1"/>
      <w:marLeft w:val="0"/>
      <w:marRight w:val="0"/>
      <w:marTop w:val="0"/>
      <w:marBottom w:val="0"/>
      <w:divBdr>
        <w:top w:val="none" w:sz="0" w:space="0" w:color="auto"/>
        <w:left w:val="none" w:sz="0" w:space="0" w:color="auto"/>
        <w:bottom w:val="none" w:sz="0" w:space="0" w:color="auto"/>
        <w:right w:val="none" w:sz="0" w:space="0" w:color="auto"/>
      </w:divBdr>
      <w:divsChild>
        <w:div w:id="3871165">
          <w:marLeft w:val="0"/>
          <w:marRight w:val="0"/>
          <w:marTop w:val="0"/>
          <w:marBottom w:val="0"/>
          <w:divBdr>
            <w:top w:val="none" w:sz="0" w:space="0" w:color="auto"/>
            <w:left w:val="none" w:sz="0" w:space="0" w:color="auto"/>
            <w:bottom w:val="none" w:sz="0" w:space="0" w:color="auto"/>
            <w:right w:val="none" w:sz="0" w:space="0" w:color="auto"/>
          </w:divBdr>
        </w:div>
      </w:divsChild>
    </w:div>
    <w:div w:id="1474563520">
      <w:bodyDiv w:val="1"/>
      <w:marLeft w:val="0"/>
      <w:marRight w:val="0"/>
      <w:marTop w:val="0"/>
      <w:marBottom w:val="0"/>
      <w:divBdr>
        <w:top w:val="none" w:sz="0" w:space="0" w:color="auto"/>
        <w:left w:val="none" w:sz="0" w:space="0" w:color="auto"/>
        <w:bottom w:val="none" w:sz="0" w:space="0" w:color="auto"/>
        <w:right w:val="none" w:sz="0" w:space="0" w:color="auto"/>
      </w:divBdr>
      <w:divsChild>
        <w:div w:id="702903597">
          <w:marLeft w:val="0"/>
          <w:marRight w:val="0"/>
          <w:marTop w:val="0"/>
          <w:marBottom w:val="0"/>
          <w:divBdr>
            <w:top w:val="none" w:sz="0" w:space="0" w:color="auto"/>
            <w:left w:val="none" w:sz="0" w:space="0" w:color="auto"/>
            <w:bottom w:val="none" w:sz="0" w:space="0" w:color="auto"/>
            <w:right w:val="none" w:sz="0" w:space="0" w:color="auto"/>
          </w:divBdr>
        </w:div>
      </w:divsChild>
    </w:div>
    <w:div w:id="1969047138">
      <w:bodyDiv w:val="1"/>
      <w:marLeft w:val="0"/>
      <w:marRight w:val="0"/>
      <w:marTop w:val="0"/>
      <w:marBottom w:val="0"/>
      <w:divBdr>
        <w:top w:val="none" w:sz="0" w:space="0" w:color="auto"/>
        <w:left w:val="none" w:sz="0" w:space="0" w:color="auto"/>
        <w:bottom w:val="none" w:sz="0" w:space="0" w:color="auto"/>
        <w:right w:val="none" w:sz="0" w:space="0" w:color="auto"/>
      </w:divBdr>
      <w:divsChild>
        <w:div w:id="440684980">
          <w:marLeft w:val="0"/>
          <w:marRight w:val="0"/>
          <w:marTop w:val="0"/>
          <w:marBottom w:val="0"/>
          <w:divBdr>
            <w:top w:val="none" w:sz="0" w:space="0" w:color="auto"/>
            <w:left w:val="none" w:sz="0" w:space="0" w:color="auto"/>
            <w:bottom w:val="none" w:sz="0" w:space="0" w:color="auto"/>
            <w:right w:val="none" w:sz="0" w:space="0" w:color="auto"/>
          </w:divBdr>
          <w:divsChild>
            <w:div w:id="1105156977">
              <w:marLeft w:val="0"/>
              <w:marRight w:val="0"/>
              <w:marTop w:val="0"/>
              <w:marBottom w:val="600"/>
              <w:divBdr>
                <w:top w:val="none" w:sz="0" w:space="0" w:color="auto"/>
                <w:left w:val="none" w:sz="0" w:space="0" w:color="auto"/>
                <w:bottom w:val="none" w:sz="0" w:space="0" w:color="auto"/>
                <w:right w:val="none" w:sz="0" w:space="0" w:color="auto"/>
              </w:divBdr>
              <w:divsChild>
                <w:div w:id="8596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56060">
          <w:marLeft w:val="0"/>
          <w:marRight w:val="0"/>
          <w:marTop w:val="0"/>
          <w:marBottom w:val="210"/>
          <w:divBdr>
            <w:top w:val="none" w:sz="0" w:space="0" w:color="auto"/>
            <w:left w:val="none" w:sz="0" w:space="0" w:color="auto"/>
            <w:bottom w:val="none" w:sz="0" w:space="0" w:color="auto"/>
            <w:right w:val="none" w:sz="0" w:space="0" w:color="auto"/>
          </w:divBdr>
          <w:divsChild>
            <w:div w:id="1544101098">
              <w:marLeft w:val="0"/>
              <w:marRight w:val="0"/>
              <w:marTop w:val="0"/>
              <w:marBottom w:val="0"/>
              <w:divBdr>
                <w:top w:val="none" w:sz="0" w:space="0" w:color="auto"/>
                <w:left w:val="none" w:sz="0" w:space="0" w:color="auto"/>
                <w:bottom w:val="none" w:sz="0" w:space="0" w:color="auto"/>
                <w:right w:val="none" w:sz="0" w:space="0" w:color="auto"/>
              </w:divBdr>
              <w:divsChild>
                <w:div w:id="1699892298">
                  <w:marLeft w:val="0"/>
                  <w:marRight w:val="0"/>
                  <w:marTop w:val="0"/>
                  <w:marBottom w:val="0"/>
                  <w:divBdr>
                    <w:top w:val="none" w:sz="0" w:space="0" w:color="auto"/>
                    <w:left w:val="none" w:sz="0" w:space="0" w:color="auto"/>
                    <w:bottom w:val="none" w:sz="0" w:space="0" w:color="auto"/>
                    <w:right w:val="none" w:sz="0" w:space="0" w:color="auto"/>
                  </w:divBdr>
                  <w:divsChild>
                    <w:div w:id="181016301">
                      <w:marLeft w:val="0"/>
                      <w:marRight w:val="0"/>
                      <w:marTop w:val="0"/>
                      <w:marBottom w:val="0"/>
                      <w:divBdr>
                        <w:top w:val="none" w:sz="0" w:space="0" w:color="auto"/>
                        <w:left w:val="none" w:sz="0" w:space="0" w:color="auto"/>
                        <w:bottom w:val="none" w:sz="0" w:space="0" w:color="auto"/>
                        <w:right w:val="none" w:sz="0" w:space="0" w:color="auto"/>
                      </w:divBdr>
                    </w:div>
                    <w:div w:id="4948812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28637556">
          <w:marLeft w:val="0"/>
          <w:marRight w:val="0"/>
          <w:marTop w:val="450"/>
          <w:marBottom w:val="450"/>
          <w:divBdr>
            <w:top w:val="single" w:sz="6" w:space="15" w:color="EEEEEE"/>
            <w:left w:val="single" w:sz="6" w:space="15" w:color="EEEEEE"/>
            <w:bottom w:val="single" w:sz="6" w:space="0" w:color="EEEEEE"/>
            <w:right w:val="single" w:sz="6" w:space="15" w:color="EEEEEE"/>
          </w:divBdr>
          <w:divsChild>
            <w:div w:id="1282031749">
              <w:marLeft w:val="0"/>
              <w:marRight w:val="0"/>
              <w:marTop w:val="0"/>
              <w:marBottom w:val="300"/>
              <w:divBdr>
                <w:top w:val="none" w:sz="0" w:space="0" w:color="auto"/>
                <w:left w:val="none" w:sz="0" w:space="0" w:color="auto"/>
                <w:bottom w:val="none" w:sz="0" w:space="0" w:color="auto"/>
                <w:right w:val="none" w:sz="0" w:space="0" w:color="auto"/>
              </w:divBdr>
              <w:divsChild>
                <w:div w:id="591089204">
                  <w:marLeft w:val="0"/>
                  <w:marRight w:val="0"/>
                  <w:marTop w:val="0"/>
                  <w:marBottom w:val="0"/>
                  <w:divBdr>
                    <w:top w:val="none" w:sz="0" w:space="0" w:color="auto"/>
                    <w:left w:val="none" w:sz="0" w:space="0" w:color="auto"/>
                    <w:bottom w:val="none" w:sz="0" w:space="0" w:color="auto"/>
                    <w:right w:val="none" w:sz="0" w:space="0" w:color="auto"/>
                  </w:divBdr>
                  <w:divsChild>
                    <w:div w:id="191250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cy.fordham.edu/academics/programs_at_fordham_/theology/faculty/kathryn_reklis_82901.asp" TargetMode="External"/><Relationship Id="rId13" Type="http://schemas.openxmlformats.org/officeDocument/2006/relationships/hyperlink" Target="http://forums.ssrc.org/ndsp/author/travis-cooper/" TargetMode="External"/><Relationship Id="rId18" Type="http://schemas.openxmlformats.org/officeDocument/2006/relationships/hyperlink" Target="http://www.bennyhinn.org/" TargetMode="External"/><Relationship Id="rId3" Type="http://schemas.openxmlformats.org/officeDocument/2006/relationships/webSettings" Target="webSettings.xml"/><Relationship Id="rId21" Type="http://schemas.openxmlformats.org/officeDocument/2006/relationships/hyperlink" Target="http://www.bennyhinn.org/prayer/prayer-request" TargetMode="External"/><Relationship Id="rId7" Type="http://schemas.openxmlformats.org/officeDocument/2006/relationships/hyperlink" Target="https://tif.ssrc.org/author/reklisk/" TargetMode="External"/><Relationship Id="rId12" Type="http://schemas.openxmlformats.org/officeDocument/2006/relationships/hyperlink" Target="http://forums.ssrc.org/ndsp/2014/01/13/eprayer-and-online-prayer-rituals/" TargetMode="External"/><Relationship Id="rId17" Type="http://schemas.openxmlformats.org/officeDocument/2006/relationships/hyperlink" Target="http://www.bennyhinn.org/prayer/mighty-warriors" TargetMode="External"/><Relationship Id="rId2" Type="http://schemas.openxmlformats.org/officeDocument/2006/relationships/settings" Target="settings.xml"/><Relationship Id="rId16" Type="http://schemas.openxmlformats.org/officeDocument/2006/relationships/hyperlink" Target="http://forums.ssrc.org/ndsp/2013/07/03/prayer-cards-and-prayer-line/" TargetMode="External"/><Relationship Id="rId20" Type="http://schemas.openxmlformats.org/officeDocument/2006/relationships/hyperlink" Target="http://www.bennyhinn.org/prayer/submit-praise-report" TargetMode="External"/><Relationship Id="rId1" Type="http://schemas.openxmlformats.org/officeDocument/2006/relationships/styles" Target="styles.xml"/><Relationship Id="rId6" Type="http://schemas.openxmlformats.org/officeDocument/2006/relationships/hyperlink" Target="http://www.cpx.cts.edu/newmedia/findings/case-studies/house-for-all-sinners-and-saints" TargetMode="External"/><Relationship Id="rId11" Type="http://schemas.openxmlformats.org/officeDocument/2006/relationships/hyperlink" Target="http://forums.ssrc.org/ndsp/category/materiality/" TargetMode="External"/><Relationship Id="rId24" Type="http://schemas.openxmlformats.org/officeDocument/2006/relationships/theme" Target="theme/theme1.xml"/><Relationship Id="rId5" Type="http://schemas.openxmlformats.org/officeDocument/2006/relationships/hyperlink" Target="http://www.cpx.cts.edu/newmedia" TargetMode="External"/><Relationship Id="rId15" Type="http://schemas.openxmlformats.org/officeDocument/2006/relationships/hyperlink" Target="http://www.bennyhinn.org/prayer/prayer-request" TargetMode="External"/><Relationship Id="rId23" Type="http://schemas.openxmlformats.org/officeDocument/2006/relationships/fontTable" Target="fontTable.xml"/><Relationship Id="rId10" Type="http://schemas.openxmlformats.org/officeDocument/2006/relationships/hyperlink" Target="http://forums.ssrc.org/ndsp/author/anderson-blanton/" TargetMode="External"/><Relationship Id="rId19" Type="http://schemas.openxmlformats.org/officeDocument/2006/relationships/hyperlink" Target="http://www.bennyhinn.org/prayer/prayer-request" TargetMode="External"/><Relationship Id="rId4" Type="http://schemas.openxmlformats.org/officeDocument/2006/relationships/hyperlink" Target="https://tif.ssrc.org/2015/03/03/give-me-that-digital-religion/" TargetMode="External"/><Relationship Id="rId9" Type="http://schemas.openxmlformats.org/officeDocument/2006/relationships/hyperlink" Target="http://forums.ssrc.org/ndsp/2013/04/10/tv-prayer/" TargetMode="External"/><Relationship Id="rId14" Type="http://schemas.openxmlformats.org/officeDocument/2006/relationships/hyperlink" Target="http://forums.ssrc.org/ndsp/category/materiality/" TargetMode="External"/><Relationship Id="rId22" Type="http://schemas.openxmlformats.org/officeDocument/2006/relationships/hyperlink" Target="http://www.bennyhinn.org/prayer/mighty-warri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3557</Words>
  <Characters>20281</Characters>
  <Application>Microsoft Office Word</Application>
  <DocSecurity>0</DocSecurity>
  <Lines>169</Lines>
  <Paragraphs>47</Paragraphs>
  <ScaleCrop>false</ScaleCrop>
  <Company/>
  <LinksUpToDate>false</LinksUpToDate>
  <CharactersWithSpaces>23791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cwhite@post.harvard.edu</dc:creator>
  <cp:keywords/>
  <dc:description/>
  <cp:lastModifiedBy>cwhite@post.harvard.edu</cp:lastModifiedBy>
  <cp:revision>1</cp:revision>
  <dcterms:created xsi:type="dcterms:W3CDTF">2018-11-29T14:03:00Z</dcterms:created>
  <dcterms:modified xsi:type="dcterms:W3CDTF">2018-11-29T14:08:00Z</dcterms:modified>
</cp:coreProperties>
</file>